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5E" w:rsidRDefault="001C72BA" w:rsidP="0017511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175110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AF6D5E">
        <w:rPr>
          <w:rFonts w:ascii="Traditional Arabic" w:cs="Traditional Arabic" w:hint="cs"/>
          <w:sz w:val="36"/>
          <w:szCs w:val="36"/>
          <w:rtl/>
        </w:rPr>
        <w:t>تجنب</w:t>
      </w:r>
      <w:r w:rsidR="00AF6D5E">
        <w:rPr>
          <w:rFonts w:ascii="Traditional Arabic" w:cs="Traditional Arabic"/>
          <w:sz w:val="36"/>
          <w:szCs w:val="36"/>
          <w:rtl/>
        </w:rPr>
        <w:t xml:space="preserve"> </w:t>
      </w:r>
      <w:r w:rsidR="00AF6D5E">
        <w:rPr>
          <w:rFonts w:ascii="Traditional Arabic" w:cs="Traditional Arabic" w:hint="cs"/>
          <w:sz w:val="36"/>
          <w:szCs w:val="36"/>
          <w:rtl/>
        </w:rPr>
        <w:t>البغي</w:t>
      </w:r>
      <w:r w:rsidR="00AF6D5E">
        <w:rPr>
          <w:rFonts w:ascii="Traditional Arabic" w:cs="Traditional Arabic"/>
          <w:sz w:val="36"/>
          <w:szCs w:val="36"/>
          <w:rtl/>
        </w:rPr>
        <w:t xml:space="preserve"> </w:t>
      </w:r>
      <w:r w:rsidR="00AF6D5E">
        <w:rPr>
          <w:rFonts w:ascii="Traditional Arabic" w:cs="Traditional Arabic" w:hint="cs"/>
          <w:sz w:val="36"/>
          <w:szCs w:val="36"/>
          <w:rtl/>
        </w:rPr>
        <w:t>والطمع</w:t>
      </w:r>
    </w:p>
    <w:p w:rsidR="00AF6D5E" w:rsidRDefault="00AF6D5E" w:rsidP="00AF6D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AF6D5E" w:rsidRDefault="00AF6D5E" w:rsidP="00AF6D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</w:p>
    <w:p w:rsidR="00023660" w:rsidRPr="00AF6D5E" w:rsidRDefault="00AF6D5E" w:rsidP="00AF6D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>: 24]</w:t>
      </w:r>
    </w:p>
    <w:sectPr w:rsidR="00023660" w:rsidRPr="00AF6D5E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75110"/>
    <w:rsid w:val="001B275D"/>
    <w:rsid w:val="001C72BA"/>
    <w:rsid w:val="005F68B5"/>
    <w:rsid w:val="00642BDF"/>
    <w:rsid w:val="00AF6D5E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