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0A2" w:rsidRDefault="001500A2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لا حسد إلا في اثنتين</w:t>
      </w:r>
    </w:p>
    <w:p w:rsidR="00347D3B" w:rsidRDefault="001500A2" w:rsidP="001500A2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347D3B" w:rsidRDefault="001500A2" w:rsidP="001500A2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حسد إلا في اثنتين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رجل آتاه الله مالا، فسلطه على هلكته في الحق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/>
          <w:sz w:val="36"/>
          <w:szCs w:val="36"/>
          <w:rtl/>
        </w:rPr>
        <w:t>ورجل آتاه الله حكمة، فهو يقضي بها ويعلمها</w:t>
      </w:r>
    </w:p>
    <w:p w:rsidR="00347D3B" w:rsidRDefault="001500A2" w:rsidP="001500A2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347D3B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347D3B"/>
    <w:rsid w:val="001500A2"/>
    <w:rsid w:val="0034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9E662"/>
  <w15:docId w15:val="{B8DAEC97-5C67-467F-B8CC-A891BD9B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2015-02-05T10:06:00Z</dcterms:created>
  <dcterms:modified xsi:type="dcterms:W3CDTF">2017-03-21T09:45:00Z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