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3B" w:rsidRDefault="008A553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تطهر في ب</w:t>
      </w:r>
      <w:r>
        <w:rPr>
          <w:rFonts w:ascii="Traditional Arabic" w:hAnsi="Traditional Arabic" w:cs="Traditional Arabic"/>
          <w:sz w:val="36"/>
          <w:szCs w:val="36"/>
          <w:rtl/>
        </w:rPr>
        <w:t>يته ثم مشى إلى بيت من بيوت الله</w:t>
      </w:r>
    </w:p>
    <w:p w:rsidR="00DD2DF4" w:rsidRDefault="008A553B" w:rsidP="008A553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D2DF4" w:rsidRDefault="008A553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تطهر في بيته ثم مشى إلى بيت من بيوت الله ليقضي فريضة من فرائض الله كانت خطوتاه إحداهما تحط خطيئة والأخرى ترفع درجة</w:t>
      </w:r>
    </w:p>
    <w:p w:rsidR="00DD2DF4" w:rsidRDefault="008A553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D2DF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D2DF4"/>
    <w:rsid w:val="008A553B"/>
    <w:rsid w:val="00D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CA6A"/>
  <w15:docId w15:val="{ED733E67-29B3-4795-A208-E13A583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2015-02-06T17:40:00Z</dcterms:created>
  <dcterms:modified xsi:type="dcterms:W3CDTF">2017-03-21T09:48:00Z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