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1A" w:rsidRDefault="00EE481A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فارفع صوتك بالنداء</w:t>
      </w:r>
    </w:p>
    <w:p w:rsidR="003B3E7D" w:rsidRDefault="00EE481A" w:rsidP="00EE481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B3E7D" w:rsidRDefault="00EE481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...... </w:t>
      </w:r>
      <w:r>
        <w:rPr>
          <w:rFonts w:ascii="Traditional Arabic" w:hAnsi="Traditional Arabic" w:cs="Traditional Arabic"/>
          <w:sz w:val="36"/>
          <w:szCs w:val="36"/>
          <w:rtl/>
        </w:rPr>
        <w:t>فارفع صوتك بالنداء، فإنه لا يسمع مدى صوت المؤذن جن ولا إنس ولا شيء إلا شهد له يوم القيامة</w:t>
      </w:r>
    </w:p>
    <w:p w:rsidR="003B3E7D" w:rsidRDefault="00EE481A" w:rsidP="00EE481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B3E7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B3E7D"/>
    <w:rsid w:val="003B3E7D"/>
    <w:rsid w:val="00E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F53C"/>
  <w15:docId w15:val="{CBE5752D-B009-42F4-B04E-61CF877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2010-05-06T13:11:00Z</dcterms:created>
  <dcterms:modified xsi:type="dcterms:W3CDTF">2017-04-03T08:57:00Z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