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E4" w:rsidRDefault="003730E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والصدقة برهان</w:t>
      </w:r>
    </w:p>
    <w:p w:rsidR="005754F6" w:rsidRDefault="003730E4" w:rsidP="003730E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754F6" w:rsidRDefault="003730E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hAnsi="Traditional Arabic" w:cs="Traditional Arabic"/>
          <w:sz w:val="36"/>
          <w:szCs w:val="36"/>
          <w:rtl/>
        </w:rPr>
        <w:t>والصدقة برهان</w:t>
      </w:r>
    </w:p>
    <w:p w:rsidR="005754F6" w:rsidRDefault="003730E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5754F6" w:rsidRDefault="003730E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أي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الصدقة دليل وبرهان على صدق العبد وإيمانه</w:t>
      </w:r>
      <w:bookmarkEnd w:id="0"/>
    </w:p>
    <w:sectPr w:rsidR="005754F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754F6"/>
    <w:rsid w:val="003730E4"/>
    <w:rsid w:val="005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258A"/>
  <w15:docId w15:val="{20D300C9-CCDC-4669-9BEF-E4371736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2015-02-06T16:43:00Z</dcterms:created>
  <dcterms:modified xsi:type="dcterms:W3CDTF">2017-04-04T09:34:00Z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