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21" w:rsidRDefault="00A11D2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</w:p>
    <w:p w:rsidR="00C42741" w:rsidRDefault="00A11D21" w:rsidP="00A11D2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42741" w:rsidRDefault="00A11D21" w:rsidP="00A11D2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رجل آتاه الله القرآن فهو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يتلوه آناء الليل وآناء النهار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ورجل آتاه الله مالا </w:t>
      </w:r>
      <w:r>
        <w:rPr>
          <w:rFonts w:ascii="Traditional Arabic" w:hAnsi="Traditional Arabic" w:cs="Traditional Arabic"/>
          <w:sz w:val="36"/>
          <w:szCs w:val="36"/>
          <w:rtl/>
        </w:rPr>
        <w:t>فهو ينفقه آناء الليل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وآناء النهار</w:t>
      </w:r>
    </w:p>
    <w:p w:rsidR="00C42741" w:rsidRPr="00A11D21" w:rsidRDefault="00A11D21" w:rsidP="00A11D2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42741" w:rsidRPr="00A11D2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42741"/>
    <w:rsid w:val="00A11D21"/>
    <w:rsid w:val="00C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6873"/>
  <w15:docId w15:val="{4FA08ADD-54E4-4185-AAFD-D65B38EE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2015-02-07T16:21:00Z</dcterms:created>
  <dcterms:modified xsi:type="dcterms:W3CDTF">2017-04-04T09:40:00Z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