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B63" w:rsidRDefault="00195B63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باب يسمى الريان</w:t>
      </w:r>
    </w:p>
    <w:p w:rsidR="002F529A" w:rsidRDefault="00195B63" w:rsidP="00195B6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2F529A" w:rsidRDefault="00195B63" w:rsidP="00195B6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في الجنة ثمانية أبواب، </w:t>
      </w:r>
      <w:r>
        <w:rPr>
          <w:rFonts w:ascii="Traditional Arabic" w:hAnsi="Traditional Arabic" w:cs="Traditional Arabic"/>
          <w:sz w:val="36"/>
          <w:szCs w:val="36"/>
          <w:rtl/>
        </w:rPr>
        <w:t>فيها باب يسمى الريان،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لا يدخله إلا الصائمون</w:t>
      </w:r>
    </w:p>
    <w:p w:rsidR="002F529A" w:rsidRDefault="00195B63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2F529A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F529A"/>
    <w:rsid w:val="00195B63"/>
    <w:rsid w:val="002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CEDE9"/>
  <w15:docId w15:val="{597D94F2-5211-4C88-923C-068A894B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2015-02-06T17:03:00Z</dcterms:created>
  <dcterms:modified xsi:type="dcterms:W3CDTF">2017-04-06T08:03:00Z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