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AD" w:rsidRDefault="005325AD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حج عن أبيك واعتمر</w:t>
      </w:r>
    </w:p>
    <w:p w:rsidR="00FD71A8" w:rsidRDefault="005325AD" w:rsidP="005325A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رجل النبي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D71A8" w:rsidRDefault="005325AD" w:rsidP="005325A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 إن أبي شيخ كبير لا يستطيع الحج ولا العمرة والظعن فقال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حج عن أبيك واعتمر</w:t>
      </w:r>
    </w:p>
    <w:p w:rsidR="00FD71A8" w:rsidRPr="005325AD" w:rsidRDefault="005325AD" w:rsidP="005325A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FD71A8" w:rsidRPr="005325A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D71A8"/>
    <w:rsid w:val="005325AD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B4B3"/>
  <w15:docId w15:val="{E447D561-637A-4EFC-AA6C-92B4E789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سأل رجل النبي صلى الله عليه وسلم: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