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AE" w:rsidRDefault="004B0FA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وليس للحج المبرور ثواب إلا الجنة</w:t>
      </w:r>
    </w:p>
    <w:p w:rsidR="008D1127" w:rsidRDefault="004B0FAE" w:rsidP="004B0FA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8D1127" w:rsidRDefault="004B0FA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hAnsi="Traditional Arabic" w:cs="Traditional Arabic"/>
          <w:sz w:val="36"/>
          <w:szCs w:val="36"/>
          <w:rtl/>
        </w:rPr>
        <w:t>وليس للحج المبرور ثواب إلا الجنة</w:t>
      </w:r>
    </w:p>
    <w:p w:rsidR="008D1127" w:rsidRDefault="004B0FA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وقال 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حسن صحيح</w:t>
      </w:r>
      <w:bookmarkEnd w:id="0"/>
    </w:p>
    <w:sectPr w:rsidR="008D112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D1127"/>
    <w:rsid w:val="004B0FAE"/>
    <w:rsid w:val="008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06968"/>
  <w15:docId w15:val="{3DFF092C-84E3-4560-A04D-896BCD61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2015-02-05T09:28:00Z</dcterms:created>
  <dcterms:modified xsi:type="dcterms:W3CDTF">2017-04-10T04:17:00Z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