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81" w:rsidRDefault="00B63881" w:rsidP="00B6388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</w:t>
      </w:r>
    </w:p>
    <w:p w:rsidR="001D76C9" w:rsidRDefault="00B6388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D76C9" w:rsidRDefault="00B63881" w:rsidP="00B6388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فإنهما ينفيان الفقر والذنوب كما ينفي </w:t>
      </w:r>
      <w:r>
        <w:rPr>
          <w:rFonts w:ascii="Traditional Arabic" w:hAnsi="Traditional Arabic" w:cs="Traditional Arabic"/>
          <w:sz w:val="36"/>
          <w:szCs w:val="36"/>
          <w:rtl/>
        </w:rPr>
        <w:t>الكير خبث الحديد والذهب والفضة</w:t>
      </w:r>
    </w:p>
    <w:p w:rsidR="001D76C9" w:rsidRDefault="00B6388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1D76C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D76C9"/>
    <w:rsid w:val="001D76C9"/>
    <w:rsid w:val="00B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D93C"/>
  <w15:docId w15:val="{BE8FADC7-C069-4EDD-8153-9D32876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2015-02-07T15:42:00Z</dcterms:created>
  <dcterms:modified xsi:type="dcterms:W3CDTF">2017-04-10T04:23:00Z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