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35" w:rsidRDefault="00D11B3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ذهب أهل الدثور بالأجور</w:t>
      </w:r>
    </w:p>
    <w:p w:rsidR="00C773CB" w:rsidRDefault="00D11B35" w:rsidP="00D11B3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ذر الغفاري رضي الله عنه:</w:t>
      </w:r>
    </w:p>
    <w:p w:rsidR="00C773CB" w:rsidRDefault="00D11B3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ناسا من أصحاب النبي صلى الله عليه وسلم قالوا للنبي صلى الله عليه وسلم: يا رسول الله ذهب أهل الدثور بالأجور يصلون كما نصلي ويصومون كما نصوم ويتصدقون بفضول أموالهم</w:t>
      </w:r>
    </w:p>
    <w:p w:rsidR="00C773CB" w:rsidRDefault="00D11B35" w:rsidP="00D11B3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قال:”أو ليس قد جعل الله لكم ما تصدقون؟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 بكل تسبيحة صدقة. وكل تكبيرة 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وكل تحميدة صدقة. وكل تهليلة 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وأمر بالمعروف صدقة. ونهي عن منكر 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وفي بضع احدكم صدقة”. قالوا: يا رسول الله أيأتي أحدنا شهوته ويكون له فيها أجر؟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قال: “أرأيتم لو وضعتها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حرام أكان عليه فيها وزر؟ فكذلك إذا وض</w:t>
      </w:r>
      <w:r w:rsidR="009E4EF0">
        <w:rPr>
          <w:rFonts w:ascii="Traditional Arabic" w:hAnsi="Traditional Arabic" w:cs="Traditional Arabic"/>
          <w:sz w:val="36"/>
          <w:szCs w:val="36"/>
          <w:rtl/>
        </w:rPr>
        <w:t xml:space="preserve">عها في الحلال كان له </w:t>
      </w:r>
      <w:r w:rsidR="009E4EF0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جر</w:t>
      </w:r>
      <w:r w:rsidR="009E4EF0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”</w:t>
      </w:r>
    </w:p>
    <w:p w:rsidR="00C773CB" w:rsidRDefault="00D11B3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773C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773CB"/>
    <w:rsid w:val="009E4EF0"/>
    <w:rsid w:val="00C773CB"/>
    <w:rsid w:val="00D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FF44"/>
  <w15:docId w15:val="{D0FFA331-1B99-4929-ACCE-739EFD6E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ذر الغفاري رضي الله عنه:</dc:title>
  <dc:creator>ALLAHs Lover</dc:creator>
  <cp:lastModifiedBy>Islam Abuelhija</cp:lastModifiedBy>
  <cp:revision>8</cp:revision>
  <dcterms:created xsi:type="dcterms:W3CDTF">2015-02-03T05:45:00Z</dcterms:created>
  <dcterms:modified xsi:type="dcterms:W3CDTF">2017-04-11T09:59:00Z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