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57" w:rsidRDefault="00F73257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يدعوني فأستجيب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له</w:t>
      </w:r>
    </w:p>
    <w:p w:rsidR="00B804E3" w:rsidRDefault="00F73257" w:rsidP="00F7325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804E3" w:rsidRDefault="00F73257" w:rsidP="00F7325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ينزل ربنا تبارك وتعالى كل ليلة </w:t>
      </w:r>
      <w:r>
        <w:rPr>
          <w:rFonts w:ascii="Traditional Arabic" w:hAnsi="Traditional Arabic" w:cs="Traditional Arabic"/>
          <w:sz w:val="36"/>
          <w:szCs w:val="36"/>
          <w:rtl/>
        </w:rPr>
        <w:t>إلى السماء الدنيا، حين يبقى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ثلث الليل الآخر، يقول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 يدعوني فأستجيب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له، من يسألني فأعطيه،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 يستغفرني فأغفر 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804E3" w:rsidRDefault="00F73257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804E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804E3"/>
    <w:rsid w:val="00B804E3"/>
    <w:rsid w:val="00F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F902"/>
  <w15:docId w15:val="{1E312689-0837-4157-9FE7-7D2C384A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2015-02-06T16:32:00Z</dcterms:created>
  <dcterms:modified xsi:type="dcterms:W3CDTF">2017-04-18T13:31:00Z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