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44CF" w14:textId="6DAAF301" w:rsidR="00C12F56" w:rsidRDefault="004C616D" w:rsidP="004C616D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eastAsia="Traditional Arabic" w:hAnsi="Traditional Arabic" w:cs="Traditional Arabic" w:hint="cs"/>
          <w:sz w:val="36"/>
          <w:szCs w:val="36"/>
          <w:rtl/>
        </w:rPr>
        <w:t>من</w:t>
      </w:r>
      <w:r w:rsidR="259C1286" w:rsidRPr="259C1286"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أخطاء المصلين</w:t>
      </w:r>
      <w:r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Pr="259C1286">
        <w:rPr>
          <w:rFonts w:ascii="Traditional Arabic" w:eastAsia="Traditional Arabic" w:hAnsi="Traditional Arabic" w:cs="Traditional Arabic"/>
          <w:sz w:val="36"/>
          <w:szCs w:val="36"/>
          <w:rtl/>
        </w:rPr>
        <w:t>الجلوس على القدمين أو بينهما</w:t>
      </w:r>
    </w:p>
    <w:p w14:paraId="360E48C8" w14:textId="5806CFA6" w:rsidR="00C12F56" w:rsidRDefault="259C1286" w:rsidP="259C1286">
      <w:pPr>
        <w:wordWrap w:val="0"/>
        <w:bidi/>
      </w:pPr>
      <w:r w:rsidRPr="259C1286">
        <w:rPr>
          <w:rFonts w:ascii="Traditional Arabic" w:eastAsia="Traditional Arabic" w:hAnsi="Traditional Arabic" w:cs="Traditional Arabic"/>
          <w:sz w:val="36"/>
          <w:szCs w:val="36"/>
          <w:rtl/>
        </w:rPr>
        <w:t>الجلوس على القدمين أو بينهما والصواب أن ينصب اليمنى ويجلس على اليسرى</w:t>
      </w:r>
      <w:bookmarkEnd w:id="0"/>
    </w:p>
    <w:sectPr w:rsidR="00C12F56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9C1286"/>
    <w:rsid w:val="004C616D"/>
    <w:rsid w:val="00C12F56"/>
    <w:rsid w:val="259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8C8C25C"/>
  <w15:docId w15:val="{17D3BFD3-2B12-4FF2-B179-7EE814C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