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CA" w:rsidRDefault="00CE7FCA" w:rsidP="00E565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E565C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565C2">
        <w:rPr>
          <w:rFonts w:ascii="Traditional Arabic" w:hAnsi="Traditional Arabic" w:cs="Traditional Arabic"/>
          <w:sz w:val="36"/>
          <w:szCs w:val="36"/>
          <w:rtl/>
        </w:rPr>
        <w:t>رباط يوم وليلة خير من صيام شهر وقيامه</w:t>
      </w:r>
    </w:p>
    <w:p w:rsidR="00CE7FCA" w:rsidRDefault="00CE7FCA" w:rsidP="00CE7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E7FCA" w:rsidRDefault="00CE7FCA" w:rsidP="00CE7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رباط يوم وليلة خير من صيام شهر وقيامه . وإن مات ، جرى عليه عمله الذي كان يعمله ، وأجري عليه رزقه ، وأمن الفتان</w:t>
      </w:r>
    </w:p>
    <w:p w:rsidR="00CE7FCA" w:rsidRDefault="00CE7FCA" w:rsidP="00CE7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E7FCA" w:rsidRDefault="00CE7FCA" w:rsidP="00CE7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فيه أن المرابط يأمن الفتان، أي: سؤال الملكين في القبر؛ لأنه قد فتن في الحياة بتحمل المخاطر وألم القتل في سبيل الله.</w:t>
      </w:r>
    </w:p>
    <w:p w:rsidR="00CE7FCA" w:rsidRDefault="00CE7FCA" w:rsidP="00CE7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E7FCA" w:rsidRDefault="00CE7FCA" w:rsidP="00CE7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E565C2" w:rsidRDefault="00CE7FCA" w:rsidP="00E565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E565C2" w:rsidSect="00EB22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58462B"/>
    <w:rsid w:val="00755546"/>
    <w:rsid w:val="00786292"/>
    <w:rsid w:val="00802E05"/>
    <w:rsid w:val="00997DA4"/>
    <w:rsid w:val="00BA101B"/>
    <w:rsid w:val="00BB5DB9"/>
    <w:rsid w:val="00BC1E1F"/>
    <w:rsid w:val="00BD660A"/>
    <w:rsid w:val="00C232A2"/>
    <w:rsid w:val="00C93B12"/>
    <w:rsid w:val="00CE7FCA"/>
    <w:rsid w:val="00D74911"/>
    <w:rsid w:val="00E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4A2C7"/>
  <w15:docId w15:val="{41AE786A-40B1-4DE4-8E1E-AFC622D7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55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555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5546"/>
  </w:style>
  <w:style w:type="character" w:customStyle="1" w:styleId="search-keys">
    <w:name w:val="search-keys"/>
    <w:basedOn w:val="DefaultParagraphFont"/>
    <w:rsid w:val="0075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2017-09-23T07:06:00Z</dcterms:modified>
</cp:coreProperties>
</file>