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73" w:rsidRDefault="00D77573" w:rsidP="00003BE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واستوصوا بالنساء خيرا</w:t>
      </w:r>
    </w:p>
    <w:p w:rsidR="00003BE3" w:rsidRPr="00B05303" w:rsidRDefault="00D77573" w:rsidP="00D7757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03BE3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03BE3" w:rsidRDefault="00D77573" w:rsidP="00003B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003BE3">
        <w:rPr>
          <w:rFonts w:cs="Traditional Arabic" w:hint="cs"/>
          <w:sz w:val="36"/>
          <w:szCs w:val="36"/>
          <w:rtl/>
          <w:lang w:bidi="ar-QA"/>
        </w:rPr>
        <w:t>استوصوا بالن</w:t>
      </w:r>
      <w:r>
        <w:rPr>
          <w:rFonts w:cs="Traditional Arabic" w:hint="cs"/>
          <w:sz w:val="36"/>
          <w:szCs w:val="36"/>
          <w:rtl/>
          <w:lang w:bidi="ar-QA"/>
        </w:rPr>
        <w:t>ساء خيرا فإنهن خلقن من ضلع أعوج و</w:t>
      </w:r>
      <w:r w:rsidR="00003BE3">
        <w:rPr>
          <w:rFonts w:cs="Traditional Arabic" w:hint="cs"/>
          <w:sz w:val="36"/>
          <w:szCs w:val="36"/>
          <w:rtl/>
          <w:lang w:bidi="ar-QA"/>
        </w:rPr>
        <w:t>إن أعوج الض</w:t>
      </w:r>
      <w:r>
        <w:rPr>
          <w:rFonts w:cs="Traditional Arabic" w:hint="cs"/>
          <w:sz w:val="36"/>
          <w:szCs w:val="36"/>
          <w:rtl/>
          <w:lang w:bidi="ar-QA"/>
        </w:rPr>
        <w:t>لع أعلاه فإن ذهبت تقيمه كسرته و</w:t>
      </w:r>
      <w:r w:rsidR="00003BE3">
        <w:rPr>
          <w:rFonts w:cs="Traditional Arabic" w:hint="cs"/>
          <w:sz w:val="36"/>
          <w:szCs w:val="36"/>
          <w:rtl/>
          <w:lang w:bidi="ar-QA"/>
        </w:rPr>
        <w:t>أن تركته لم يزل أعوج فاستوصوا بالنساء خيرا</w:t>
      </w:r>
    </w:p>
    <w:p w:rsidR="00EC0D7C" w:rsidRDefault="00003BE3" w:rsidP="00003BE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3BE3"/>
    <w:rsid w:val="00003BE3"/>
    <w:rsid w:val="00D77573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B164"/>
  <w15:docId w15:val="{23764CB0-DFBE-4D48-960A-23AF1ED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sak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2015-02-07T11:00:00Z</dcterms:created>
  <dcterms:modified xsi:type="dcterms:W3CDTF">2017-04-29T09:20:00Z</dcterms:modified>
</cp:coreProperties>
</file>