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51" w:rsidRDefault="002B3551" w:rsidP="00217C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217CF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جواز التحدث في الأمور الدنيوية المباحة في المسجد</w:t>
      </w:r>
    </w:p>
    <w:p w:rsidR="002B3551" w:rsidRDefault="002B3551" w:rsidP="002B35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جابر بن سمرة رضي الله عنه </w:t>
      </w:r>
    </w:p>
    <w:p w:rsidR="002B3551" w:rsidRDefault="002B3551" w:rsidP="002B35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كان لا يقوم من مصل</w:t>
      </w:r>
      <w:r w:rsidR="00217CFB">
        <w:rPr>
          <w:rFonts w:ascii="Traditional Arabic" w:hAnsi="Traditional Arabic" w:cs="Traditional Arabic"/>
          <w:sz w:val="36"/>
          <w:szCs w:val="36"/>
          <w:rtl/>
        </w:rPr>
        <w:t>اه الذي يصلي فيه الصبح حتى تطلع</w:t>
      </w:r>
      <w:r w:rsidR="00217CF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الشمس . فإذا طلعت قام . وكانوا يتحدثون فيأخذون في أمر الجاهلية . فيضحكون . ويتبسم صلى الله عليه وسلم .</w:t>
      </w:r>
    </w:p>
    <w:p w:rsidR="00C861FA" w:rsidRPr="00217CFB" w:rsidRDefault="002B3551" w:rsidP="00217C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861FA" w:rsidRPr="00217CFB" w:rsidSect="00363C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217CFB"/>
    <w:rsid w:val="00227BA6"/>
    <w:rsid w:val="002B3551"/>
    <w:rsid w:val="00363C50"/>
    <w:rsid w:val="005150BA"/>
    <w:rsid w:val="008C6E21"/>
    <w:rsid w:val="00C8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BE29"/>
  <w15:docId w15:val="{90432DD8-69AB-4BDA-A0C5-8FE0F185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C50"/>
  </w:style>
  <w:style w:type="paragraph" w:styleId="Heading5">
    <w:name w:val="heading 5"/>
    <w:basedOn w:val="Normal"/>
    <w:link w:val="Heading5Char"/>
    <w:uiPriority w:val="9"/>
    <w:qFormat/>
    <w:rsid w:val="00C861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61F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61FA"/>
  </w:style>
  <w:style w:type="character" w:customStyle="1" w:styleId="search-keys">
    <w:name w:val="search-keys"/>
    <w:basedOn w:val="DefaultParagraphFont"/>
    <w:rsid w:val="00C8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2016-03-27T07:09:00Z</dcterms:created>
  <dcterms:modified xsi:type="dcterms:W3CDTF">2017-05-14T09:56:00Z</dcterms:modified>
</cp:coreProperties>
</file>