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2F" w:rsidRDefault="004E6E2F" w:rsidP="005257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5257A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257A3">
        <w:rPr>
          <w:rFonts w:ascii="Traditional Arabic" w:hAnsi="Traditional Arabic" w:cs="Traditional Arabic"/>
          <w:sz w:val="36"/>
          <w:szCs w:val="36"/>
          <w:rtl/>
        </w:rPr>
        <w:t>ولا تنتقب المرأة المحرمة</w:t>
      </w:r>
    </w:p>
    <w:p w:rsidR="004E6E2F" w:rsidRDefault="004E6E2F" w:rsidP="004E6E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E6E2F" w:rsidRDefault="004E6E2F" w:rsidP="004E6E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ولا تنتقب المرأة المحرمة ، ولا تلبس القفازين .</w:t>
      </w:r>
    </w:p>
    <w:p w:rsidR="004E6E2F" w:rsidRDefault="004E6E2F" w:rsidP="004E6E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D86CE2" w:rsidRPr="005257A3" w:rsidRDefault="004E6E2F" w:rsidP="005257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النهي عن لبس النقاب أو القفازين للمحرمة وقد ورد عن أسماء بنت أبي بكر رضي الله عنها: أنها كانت تغطي وجهها في الإحرام، وقد جاء النص بالنهي عن النقاب خاصة،</w:t>
      </w:r>
      <w:r w:rsidR="005257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وليس عن تغطية الوجه.</w:t>
      </w:r>
      <w:bookmarkEnd w:id="0"/>
    </w:p>
    <w:sectPr w:rsidR="00D86CE2" w:rsidRPr="005257A3" w:rsidSect="00B228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4E6E2F"/>
    <w:rsid w:val="005257A3"/>
    <w:rsid w:val="007B7E8C"/>
    <w:rsid w:val="00CB3F96"/>
    <w:rsid w:val="00D728A5"/>
    <w:rsid w:val="00D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3819A"/>
  <w15:docId w15:val="{6681D2CC-F447-475A-BB2B-8F809C72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2017-07-06T08:24:00Z</dcterms:modified>
</cp:coreProperties>
</file>