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E" w:rsidRDefault="006D2E3E" w:rsidP="00013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0130A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130A4">
        <w:rPr>
          <w:rFonts w:ascii="Traditional Arabic" w:hAnsi="Traditional Arabic" w:cs="Traditional Arabic"/>
          <w:sz w:val="36"/>
          <w:szCs w:val="36"/>
          <w:rtl/>
        </w:rPr>
        <w:t>لا يحل لامرأة تؤمن بالله واليوم الآخر أن تحد على ميت فوق ثلاث</w:t>
      </w:r>
    </w:p>
    <w:p w:rsidR="006D2E3E" w:rsidRDefault="006D2E3E" w:rsidP="006D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D2E3E" w:rsidRDefault="006D2E3E" w:rsidP="006D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يحل </w:t>
      </w:r>
      <w:r w:rsidR="000130A4">
        <w:rPr>
          <w:rFonts w:ascii="Traditional Arabic" w:hAnsi="Traditional Arabic" w:cs="Traditional Arabic"/>
          <w:sz w:val="36"/>
          <w:szCs w:val="36"/>
          <w:rtl/>
        </w:rPr>
        <w:t>لامرأة تؤمن بالله واليوم 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تحد على ميت فوق ثلاث ، إلا على زوج ، فإنها تحد عليه أربعة أشهر وعشرا .</w:t>
      </w:r>
    </w:p>
    <w:p w:rsidR="006D2E3E" w:rsidRDefault="006D2E3E" w:rsidP="006D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227CF2" w:rsidRPr="000130A4" w:rsidRDefault="006D2E3E" w:rsidP="00013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والإحداد: ترك الزينة والطيب ونحوهما، أو المرغبات في الخطبة، وذلك إذا مات للمرأة ميت.</w:t>
      </w:r>
      <w:bookmarkEnd w:id="0"/>
    </w:p>
    <w:sectPr w:rsidR="00227CF2" w:rsidRPr="000130A4" w:rsidSect="00E645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130A4"/>
    <w:rsid w:val="00227CF2"/>
    <w:rsid w:val="006D2E3E"/>
    <w:rsid w:val="007B7E8C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5C616"/>
  <w15:docId w15:val="{D2C6C9E3-073C-4750-BF89-677901B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27C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27C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27CF2"/>
  </w:style>
  <w:style w:type="character" w:customStyle="1" w:styleId="search-keys">
    <w:name w:val="search-keys"/>
    <w:basedOn w:val="DefaultParagraphFont"/>
    <w:rsid w:val="0022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2017-07-06T08:27:00Z</dcterms:modified>
</cp:coreProperties>
</file>