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C46" w:rsidRDefault="00693C46" w:rsidP="00A8686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القوارير</w:t>
      </w:r>
      <w:r w:rsidR="00A8686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A8686B">
        <w:rPr>
          <w:rFonts w:ascii="Traditional Arabic" w:hAnsi="Traditional Arabic" w:cs="Traditional Arabic"/>
          <w:sz w:val="36"/>
          <w:szCs w:val="36"/>
          <w:rtl/>
        </w:rPr>
        <w:t>لا تقبل صلاة لامرأة تطيبت لهذا المسجد</w:t>
      </w:r>
    </w:p>
    <w:p w:rsidR="00693C46" w:rsidRDefault="00693C46" w:rsidP="00693C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693C46" w:rsidRDefault="00693C46" w:rsidP="00693C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تقبل صلاة لامرأة تطيبت لهذا المسجد ، حتى ترجع فتغتسل غسلها من الجنابة</w:t>
      </w:r>
    </w:p>
    <w:p w:rsidR="00693C46" w:rsidRDefault="00693C46" w:rsidP="00693C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روا أبو داود وصححه الألباني </w:t>
      </w:r>
    </w:p>
    <w:p w:rsidR="003753E5" w:rsidRPr="00A8686B" w:rsidRDefault="00693C46" w:rsidP="00A8686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ليس لها أجر في تلك الصلاة التي صلتها، إذا خرجت من بيتها قاصدة المسجد وهي واضعة للطيب ويفوح ريحه، حتى تعم جسدها بالماء فتزيل أثر ذلك الطيب.</w:t>
      </w:r>
      <w:bookmarkEnd w:id="0"/>
    </w:p>
    <w:sectPr w:rsidR="003753E5" w:rsidRPr="00A8686B" w:rsidSect="005E233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96"/>
    <w:rsid w:val="003753E5"/>
    <w:rsid w:val="00693C46"/>
    <w:rsid w:val="007B7E8C"/>
    <w:rsid w:val="00A8686B"/>
    <w:rsid w:val="00CB3F96"/>
    <w:rsid w:val="00D7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EE3E29"/>
  <w15:docId w15:val="{C22A9903-7492-4094-9689-91CF7343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753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753E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753E5"/>
  </w:style>
  <w:style w:type="character" w:customStyle="1" w:styleId="search-keys">
    <w:name w:val="search-keys"/>
    <w:basedOn w:val="DefaultParagraphFont"/>
    <w:rsid w:val="00375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0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8</cp:revision>
  <dcterms:created xsi:type="dcterms:W3CDTF">2017-05-15T14:03:00Z</dcterms:created>
  <dcterms:modified xsi:type="dcterms:W3CDTF">2017-07-06T08:35:00Z</dcterms:modified>
</cp:coreProperties>
</file>