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213B" w14:textId="128AC572" w:rsidR="00EB36E1" w:rsidRDefault="00EB36E1" w:rsidP="005C63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5C638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C6380">
        <w:rPr>
          <w:rFonts w:ascii="Traditional Arabic" w:hAnsi="Traditional Arabic" w:cs="Traditional Arabic"/>
          <w:sz w:val="36"/>
          <w:szCs w:val="36"/>
          <w:rtl/>
        </w:rPr>
        <w:t>فعليه بالصوم</w:t>
      </w:r>
      <w:r w:rsidR="005C63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6380">
        <w:rPr>
          <w:rFonts w:ascii="Traditional Arabic" w:hAnsi="Traditional Arabic" w:cs="Traditional Arabic"/>
          <w:sz w:val="36"/>
          <w:szCs w:val="36"/>
          <w:rtl/>
        </w:rPr>
        <w:t>فإنه له وجاء</w:t>
      </w:r>
      <w:bookmarkStart w:id="0" w:name="_GoBack"/>
      <w:bookmarkEnd w:id="0"/>
    </w:p>
    <w:p w14:paraId="5CE2ACB3" w14:textId="77777777" w:rsidR="00EB36E1" w:rsidRDefault="00EB36E1" w:rsidP="00EB3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0827D0" w14:textId="77777777" w:rsidR="00EB36E1" w:rsidRDefault="00EB36E1" w:rsidP="00EB3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استطاع الباءة فليتزوج، فإنه أغض للبصر، وأحصن للفرج، ومن لم يستطع فعليه بالصوم، فإنه له وجاء.</w:t>
      </w:r>
    </w:p>
    <w:p w14:paraId="76EC6021" w14:textId="77777777" w:rsidR="00EB36E1" w:rsidRDefault="00EB36E1" w:rsidP="00EB3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266CF93" w14:textId="69DF535F" w:rsidR="006E1FE0" w:rsidRPr="005C6380" w:rsidRDefault="00EB36E1" w:rsidP="005C63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من استطاع الزواج ووجد كلفته ومؤنته فليتزوج ، «وجاء»، أي: قاطع للشهوة.</w:t>
      </w:r>
    </w:p>
    <w:sectPr w:rsidR="006E1FE0" w:rsidRPr="005C6380" w:rsidSect="001221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5C6380"/>
    <w:rsid w:val="006E1FE0"/>
    <w:rsid w:val="00C33ED3"/>
    <w:rsid w:val="00E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2020-03-21T09:21:00Z</dcterms:modified>
</cp:coreProperties>
</file>