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D302" w14:textId="68751103" w:rsidR="00BA27F9" w:rsidRDefault="00BA27F9" w:rsidP="007F57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7F579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F5791">
        <w:rPr>
          <w:rFonts w:ascii="Traditional Arabic" w:hAnsi="Traditional Arabic" w:cs="Traditional Arabic"/>
          <w:sz w:val="36"/>
          <w:szCs w:val="36"/>
          <w:rtl/>
        </w:rPr>
        <w:t>ولينعلهما جميعا</w:t>
      </w:r>
      <w:bookmarkStart w:id="0" w:name="_GoBack"/>
      <w:bookmarkEnd w:id="0"/>
      <w:r w:rsidR="007F5791">
        <w:rPr>
          <w:rFonts w:ascii="Traditional Arabic" w:hAnsi="Traditional Arabic" w:cs="Traditional Arabic"/>
          <w:sz w:val="36"/>
          <w:szCs w:val="36"/>
          <w:rtl/>
        </w:rPr>
        <w:t xml:space="preserve"> أو ليخلعهما جميعا</w:t>
      </w:r>
    </w:p>
    <w:p w14:paraId="596FB044" w14:textId="77777777" w:rsidR="00BA27F9" w:rsidRDefault="00BA27F9" w:rsidP="00BA27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CCA17EA" w14:textId="77777777" w:rsidR="00BA27F9" w:rsidRDefault="00BA27F9" w:rsidP="00BA27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انتعل أحدكم فليبدأ باليمنى، وإذا خلع فليبدأ بالشمال، ولينعلهما جميعا، أو ليخلعهما جميعا.</w:t>
      </w:r>
    </w:p>
    <w:p w14:paraId="60044578" w14:textId="77777777" w:rsidR="00BA27F9" w:rsidRDefault="00BA27F9" w:rsidP="00BA27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1F008A7" w14:textId="08219D28" w:rsidR="00A73623" w:rsidRPr="007F5791" w:rsidRDefault="00BA27F9" w:rsidP="007F57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لأنه لا يأمن عند ذلك التعثر والعنت، مع قبح المنظر.</w:t>
      </w:r>
    </w:p>
    <w:sectPr w:rsidR="00A73623" w:rsidRPr="007F5791" w:rsidSect="004A11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7F5791"/>
    <w:rsid w:val="00A73623"/>
    <w:rsid w:val="00BA27F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2020-03-21T09:23:00Z</dcterms:modified>
</cp:coreProperties>
</file>