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67" w:rsidRDefault="00075267" w:rsidP="00AA784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 w:hint="cs"/>
          <w:sz w:val="36"/>
          <w:szCs w:val="36"/>
          <w:rtl/>
        </w:rPr>
        <w:t>أدرك شهر رمضان فمات فلم يغفر له</w:t>
      </w:r>
    </w:p>
    <w:p w:rsidR="00787725" w:rsidRDefault="00AA784D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7526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A784D" w:rsidRDefault="00AA784D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أتاني جبريل . . . قال : يا محمد من أدرك شهر رمضان فمات فلم يغفر له فأدخل النار فأبعده الله قل: آمين ، فقلت : آمين</w:t>
      </w:r>
    </w:p>
    <w:p w:rsidR="00AA784D" w:rsidRPr="00AA784D" w:rsidRDefault="00AA784D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AA784D" w:rsidRPr="00AA784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75267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B00FC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7904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2015-02-17T07:44:00Z</dcterms:created>
  <dcterms:modified xsi:type="dcterms:W3CDTF">2017-04-18T12:37:00Z</dcterms:modified>
</cp:coreProperties>
</file>