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DB" w:rsidRDefault="006C3BDB" w:rsidP="00890DD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تغضب</w:t>
      </w:r>
    </w:p>
    <w:p w:rsidR="006C3BDB" w:rsidRDefault="00890DD3" w:rsidP="006C3BDB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هريرة رضي الله عنه</w:t>
      </w:r>
      <w:r w:rsidR="006C3BDB">
        <w:rPr>
          <w:rFonts w:cs="Traditional Arabic" w:hint="cs"/>
          <w:sz w:val="36"/>
          <w:szCs w:val="36"/>
          <w:rtl/>
          <w:lang w:bidi="ar-QA"/>
        </w:rPr>
        <w:t>:</w:t>
      </w:r>
    </w:p>
    <w:p w:rsidR="00890DD3" w:rsidRDefault="00890DD3" w:rsidP="006C3BD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</w:t>
      </w:r>
      <w:r w:rsidR="006C3BDB">
        <w:rPr>
          <w:rFonts w:cs="Traditional Arabic" w:hint="cs"/>
          <w:sz w:val="36"/>
          <w:szCs w:val="36"/>
          <w:rtl/>
          <w:lang w:bidi="ar-QA"/>
        </w:rPr>
        <w:t xml:space="preserve"> رجلا قال للنبي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أوصني قال</w:t>
      </w:r>
      <w:r w:rsidR="006C3BDB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لا تغضب فردد مرارا</w:t>
      </w:r>
      <w:r w:rsidR="006C3BDB">
        <w:rPr>
          <w:rFonts w:cs="Traditional Arabic" w:hint="cs"/>
          <w:sz w:val="36"/>
          <w:szCs w:val="36"/>
          <w:rtl/>
          <w:lang w:bidi="ar-QA"/>
        </w:rPr>
        <w:t>،</w:t>
      </w:r>
      <w:r>
        <w:rPr>
          <w:rFonts w:cs="Traditional Arabic" w:hint="cs"/>
          <w:sz w:val="36"/>
          <w:szCs w:val="36"/>
          <w:rtl/>
          <w:lang w:bidi="ar-QA"/>
        </w:rPr>
        <w:t xml:space="preserve"> قال لا تغضب </w:t>
      </w:r>
    </w:p>
    <w:p w:rsidR="00F37F69" w:rsidRDefault="00890DD3" w:rsidP="006C3BD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DD3"/>
    <w:rsid w:val="001B1853"/>
    <w:rsid w:val="006C3BDB"/>
    <w:rsid w:val="00766D41"/>
    <w:rsid w:val="00890DD3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1E4"/>
  <w15:docId w15:val="{D8BE1800-6A16-45E1-B7BF-C7C92041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2017-05-24T10:11:00Z</dcterms:modified>
</cp:coreProperties>
</file>