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C2" w:rsidRPr="0032133D" w:rsidRDefault="008976FB" w:rsidP="0032133D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32133D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32133D">
        <w:rPr>
          <w:rFonts w:ascii="Traditional Arabic" w:hAnsi="Traditional Arabic" w:cs="Traditional Arabic"/>
          <w:sz w:val="36"/>
          <w:szCs w:val="36"/>
          <w:rtl/>
        </w:rPr>
        <w:t>بحسب امرئ من الشر</w:t>
      </w:r>
    </w:p>
    <w:p w:rsidR="00AE2EC2" w:rsidRDefault="008976F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AE2EC2" w:rsidRDefault="008976F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بحسب امرئ من الشر أن يحقر أخاه المسلم</w:t>
      </w:r>
    </w:p>
    <w:p w:rsidR="00AE2EC2" w:rsidRPr="0032133D" w:rsidRDefault="008976FB" w:rsidP="0032133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AE2EC2" w:rsidRPr="0032133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E2EC2"/>
    <w:rsid w:val="0032133D"/>
    <w:rsid w:val="008976FB"/>
    <w:rsid w:val="00A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5FD9"/>
  <w15:docId w15:val="{F60F06DC-E010-48D0-9E35-4F72E68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2015-02-23T13:56:00Z</dcterms:created>
  <dcterms:modified xsi:type="dcterms:W3CDTF">2017-06-04T10:24:00Z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