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1B" w:rsidRDefault="009357BD" w:rsidP="004106C2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4106C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4106C2">
        <w:rPr>
          <w:rFonts w:ascii="Traditional Arabic" w:hAnsi="Traditional Arabic" w:cs="Traditional Arabic"/>
          <w:sz w:val="36"/>
          <w:szCs w:val="36"/>
          <w:rtl/>
        </w:rPr>
        <w:t>من لقي الله لا يشرك به شيئا</w:t>
      </w:r>
    </w:p>
    <w:p w:rsidR="00B1451B" w:rsidRDefault="009357BD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B1451B" w:rsidRDefault="009357BD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لقي الله لا يشرك به شيئا دخل الجنة</w:t>
      </w:r>
    </w:p>
    <w:p w:rsidR="00B1451B" w:rsidRPr="004106C2" w:rsidRDefault="009357BD" w:rsidP="004106C2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B1451B" w:rsidRPr="004106C2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B1451B"/>
    <w:rsid w:val="004106C2"/>
    <w:rsid w:val="009357BD"/>
    <w:rsid w:val="00B1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55B2F"/>
  <w15:docId w15:val="{29D238E9-0DDD-430F-916D-DC460B0E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2015-02-23T14:39:00Z</dcterms:created>
  <dcterms:modified xsi:type="dcterms:W3CDTF">2017-06-04T10:32:00Z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