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11" w:rsidRDefault="005F661D" w:rsidP="00D336E7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D336E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336E7">
        <w:rPr>
          <w:rFonts w:ascii="Traditional Arabic" w:hAnsi="Traditional Arabic" w:cs="Traditional Arabic"/>
          <w:sz w:val="36"/>
          <w:szCs w:val="36"/>
          <w:rtl/>
        </w:rPr>
        <w:t>إذا سمعتم النداء</w:t>
      </w:r>
    </w:p>
    <w:p w:rsidR="00782511" w:rsidRDefault="005F661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782511" w:rsidRDefault="005F661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سمعتم النداء - أي الأذان - فقولوا مثل ما يقول المؤذن</w:t>
      </w:r>
    </w:p>
    <w:p w:rsidR="005F661D" w:rsidRDefault="005F661D" w:rsidP="005F661D">
      <w:pPr>
        <w:bidi/>
        <w:rPr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5F661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82511"/>
    <w:rsid w:val="005F661D"/>
    <w:rsid w:val="00782511"/>
    <w:rsid w:val="00D3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6A7B"/>
  <w15:docId w15:val="{85C58B57-87F2-41CF-8E5C-AA52B21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2015-02-23T14:39:00Z</dcterms:created>
  <dcterms:modified xsi:type="dcterms:W3CDTF">2017-06-04T10:32:00Z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