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08" w:rsidRDefault="000A612C" w:rsidP="00360160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3601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60160">
        <w:rPr>
          <w:rFonts w:ascii="Traditional Arabic" w:hAnsi="Traditional Arabic" w:cs="Traditional Arabic"/>
          <w:sz w:val="36"/>
          <w:szCs w:val="36"/>
          <w:rtl/>
        </w:rPr>
        <w:t>لا يقيمن أحدكم أخاه</w:t>
      </w:r>
    </w:p>
    <w:p w:rsidR="00E34F08" w:rsidRDefault="000A612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34F08" w:rsidRDefault="000A612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يقيمن أحدكم أخاه ثم يجلس في مجلسه</w:t>
      </w:r>
    </w:p>
    <w:p w:rsidR="00E34F08" w:rsidRPr="00360160" w:rsidRDefault="000A612C" w:rsidP="0036016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E34F08" w:rsidRPr="0036016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34F08"/>
    <w:rsid w:val="000A612C"/>
    <w:rsid w:val="00360160"/>
    <w:rsid w:val="00E3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C951"/>
  <w15:docId w15:val="{F077348C-1854-4315-BC73-FB39D4D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2015-02-23T14:46:00Z</dcterms:created>
  <dcterms:modified xsi:type="dcterms:W3CDTF">2017-06-04T10:34:00Z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