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8F" w:rsidRDefault="005A5437" w:rsidP="00FE6B6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FE6B6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E6B64">
        <w:rPr>
          <w:rFonts w:ascii="Traditional Arabic" w:hAnsi="Traditional Arabic" w:cs="Traditional Arabic"/>
          <w:sz w:val="36"/>
          <w:szCs w:val="36"/>
          <w:rtl/>
        </w:rPr>
        <w:t>إذا قام أحدكم من مجلسه</w:t>
      </w:r>
    </w:p>
    <w:p w:rsidR="002B538F" w:rsidRDefault="005A543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2B538F" w:rsidRDefault="005A543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قام أحدكم من مجلسه ثم رجع إليه فهو أحق به</w:t>
      </w:r>
    </w:p>
    <w:p w:rsidR="002B538F" w:rsidRPr="00FE6B64" w:rsidRDefault="005A5437" w:rsidP="00FE6B6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2B538F" w:rsidRPr="00FE6B6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B538F"/>
    <w:rsid w:val="002B538F"/>
    <w:rsid w:val="005A5437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ADBB"/>
  <w15:docId w15:val="{58F3EAEB-D17E-470A-8538-D32AE78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2015-02-23T14:46:00Z</dcterms:created>
  <dcterms:modified xsi:type="dcterms:W3CDTF">2017-06-04T10:34:00Z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