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BB" w:rsidRDefault="007203FB" w:rsidP="0021755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21755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17555">
        <w:rPr>
          <w:rFonts w:ascii="Traditional Arabic" w:hAnsi="Traditional Arabic" w:cs="Traditional Arabic"/>
          <w:sz w:val="36"/>
          <w:szCs w:val="36"/>
          <w:rtl/>
        </w:rPr>
        <w:t>إذا كنتم ثلاثة فلا يتناجى اثنان</w:t>
      </w:r>
    </w:p>
    <w:p w:rsidR="002808BB" w:rsidRDefault="007203F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808BB" w:rsidRDefault="007203F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كنتم ثلاثة فلا يتناجى اثنان دون صاحبهما فإن ذلك يحزنه</w:t>
      </w:r>
    </w:p>
    <w:p w:rsidR="002808BB" w:rsidRPr="00217555" w:rsidRDefault="007203FB" w:rsidP="0021755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2808BB" w:rsidRPr="0021755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808BB"/>
    <w:rsid w:val="00217555"/>
    <w:rsid w:val="002808BB"/>
    <w:rsid w:val="0072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DECD"/>
  <w15:docId w15:val="{8AC4BFD0-3774-457D-AC18-1E0296A1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2015-02-23T14:47:00Z</dcterms:created>
  <dcterms:modified xsi:type="dcterms:W3CDTF">2017-06-04T10:35:00Z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