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F2" w:rsidRPr="001A6E0E" w:rsidRDefault="00F41792" w:rsidP="006800F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A6E0E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6800F2" w:rsidRPr="001A6E0E">
        <w:rPr>
          <w:rFonts w:ascii="Traditional Arabic" w:hAnsi="Traditional Arabic" w:cs="Traditional Arabic"/>
          <w:sz w:val="36"/>
          <w:szCs w:val="36"/>
          <w:rtl/>
        </w:rPr>
        <w:t xml:space="preserve"> - ليس الكذاب الذي يصلح بين الناس</w:t>
      </w:r>
    </w:p>
    <w:p w:rsidR="00051FAA" w:rsidRPr="001A6E0E" w:rsidRDefault="00F41792" w:rsidP="006800F2">
      <w:pPr>
        <w:bidi/>
        <w:rPr>
          <w:rFonts w:ascii="Traditional Arabic" w:hAnsi="Traditional Arabic" w:cs="Traditional Arabic"/>
          <w:sz w:val="36"/>
          <w:szCs w:val="36"/>
        </w:rPr>
      </w:pPr>
      <w:r w:rsidRPr="001A6E0E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51FAA" w:rsidRPr="001A6E0E" w:rsidRDefault="00F41792">
      <w:pPr>
        <w:bidi/>
        <w:rPr>
          <w:rFonts w:ascii="Traditional Arabic" w:hAnsi="Traditional Arabic" w:cs="Traditional Arabic"/>
          <w:sz w:val="36"/>
          <w:szCs w:val="36"/>
        </w:rPr>
      </w:pPr>
      <w:r w:rsidRPr="001A6E0E">
        <w:rPr>
          <w:rFonts w:ascii="Traditional Arabic" w:hAnsi="Traditional Arabic" w:cs="Traditional Arabic"/>
          <w:sz w:val="36"/>
          <w:szCs w:val="36"/>
          <w:rtl/>
        </w:rPr>
        <w:t>ليس الكذاب الذي يصلح بين الناس ويقول خيرا وينمي خيرا</w:t>
      </w:r>
    </w:p>
    <w:p w:rsidR="00051FAA" w:rsidRPr="001A6E0E" w:rsidRDefault="00F41792" w:rsidP="006800F2">
      <w:pPr>
        <w:bidi/>
        <w:rPr>
          <w:rFonts w:ascii="Traditional Arabic" w:hAnsi="Traditional Arabic" w:cs="Traditional Arabic"/>
          <w:sz w:val="36"/>
          <w:szCs w:val="36"/>
        </w:rPr>
      </w:pPr>
      <w:r w:rsidRPr="001A6E0E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51FAA" w:rsidRPr="001A6E0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51FAA"/>
    <w:rsid w:val="00051FAA"/>
    <w:rsid w:val="001A6E0E"/>
    <w:rsid w:val="006800F2"/>
    <w:rsid w:val="00F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AC2C7-40F7-4B0C-AA7A-B59E1327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2015-02-23T17:20:00Z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