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AB90D" w14:textId="2343E30F" w:rsidR="00BF16E8" w:rsidRDefault="00BF16E8" w:rsidP="00BF16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عن لحوم الحمر الأهلية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وعن الجلالة</w:t>
      </w:r>
      <w:r>
        <w:rPr>
          <w:rFonts w:ascii="Traditional Arabic" w:hAnsi="Traditional Arabic" w:cs="Traditional Arabic"/>
          <w:sz w:val="36"/>
          <w:szCs w:val="36"/>
          <w:rtl/>
        </w:rPr>
        <w:t xml:space="preserve"> </w:t>
      </w:r>
    </w:p>
    <w:p w14:paraId="4F75D761" w14:textId="7A85BEEE" w:rsidR="00BF16E8" w:rsidRDefault="00BF16E8" w:rsidP="00BF16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عمرو رضي الله </w:t>
      </w:r>
      <w:proofErr w:type="gramStart"/>
      <w:r>
        <w:rPr>
          <w:rFonts w:ascii="Traditional Arabic" w:hAnsi="Traditional Arabic" w:cs="Traditional Arabic"/>
          <w:sz w:val="36"/>
          <w:szCs w:val="36"/>
          <w:rtl/>
        </w:rPr>
        <w:t>عنهما :</w:t>
      </w:r>
      <w:proofErr w:type="gramEnd"/>
    </w:p>
    <w:p w14:paraId="76D48E69" w14:textId="77777777" w:rsidR="00BF16E8" w:rsidRDefault="00BF16E8" w:rsidP="00BF16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صلى الله عليه وسلم: يوم خيبر عن لحوم الحمر الأهلية، وعن الجلالة، عن ركوبها وأكل لحمها</w:t>
      </w:r>
    </w:p>
    <w:p w14:paraId="53683ABE" w14:textId="77777777" w:rsidR="00BF16E8" w:rsidRDefault="00BF16E8" w:rsidP="00BF16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رواه أبو داود وقال </w:t>
      </w:r>
      <w:proofErr w:type="gramStart"/>
      <w:r>
        <w:rPr>
          <w:rFonts w:ascii="Traditional Arabic" w:hAnsi="Traditional Arabic" w:cs="Traditional Arabic"/>
          <w:sz w:val="36"/>
          <w:szCs w:val="36"/>
          <w:rtl/>
        </w:rPr>
        <w:t>الألباني :</w:t>
      </w:r>
      <w:proofErr w:type="gramEnd"/>
      <w:r>
        <w:rPr>
          <w:rFonts w:ascii="Traditional Arabic" w:hAnsi="Traditional Arabic" w:cs="Traditional Arabic"/>
          <w:sz w:val="36"/>
          <w:szCs w:val="36"/>
          <w:rtl/>
        </w:rPr>
        <w:t xml:space="preserve"> حسن صحيح</w:t>
      </w:r>
    </w:p>
    <w:p w14:paraId="2E2491B3" w14:textId="55C3E414" w:rsidR="0054539C" w:rsidRPr="00BF16E8" w:rsidRDefault="00BF16E8" w:rsidP="00BF16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الحمر الأهلية هي المستأنسة، والمقصود بالنهي عنها النهي عن </w:t>
      </w:r>
      <w:proofErr w:type="gramStart"/>
      <w:r>
        <w:rPr>
          <w:rFonts w:ascii="Traditional Arabic" w:hAnsi="Traditional Arabic" w:cs="Traditional Arabic"/>
          <w:sz w:val="36"/>
          <w:szCs w:val="36"/>
          <w:rtl/>
        </w:rPr>
        <w:t>أكلها ،</w:t>
      </w:r>
      <w:proofErr w:type="gramEnd"/>
      <w:r>
        <w:rPr>
          <w:rFonts w:ascii="Traditional Arabic" w:hAnsi="Traditional Arabic" w:cs="Traditional Arabic"/>
          <w:sz w:val="36"/>
          <w:szCs w:val="36"/>
          <w:rtl/>
        </w:rPr>
        <w:t xml:space="preserve"> والجلالة التي تأكل الجلة، وهي البعرة، وتتغذى على النجاسات؛ فنهى النبي صلى الله عليه وسلم عن ركوبها؛ وذلك أنها تعرق فيتلوث بعرقها من يركبها، كما أن لحمها ينتن كذلك؛ لأن علفها وأكلها بالعذرة والنجاسات.</w:t>
      </w:r>
    </w:p>
    <w:sectPr w:rsidR="0054539C" w:rsidRPr="00BF16E8" w:rsidSect="00397B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47"/>
    <w:rsid w:val="0054539C"/>
    <w:rsid w:val="005663CA"/>
    <w:rsid w:val="005F1924"/>
    <w:rsid w:val="00BF16E8"/>
    <w:rsid w:val="00D2028C"/>
    <w:rsid w:val="00D56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3569"/>
  <w15:chartTrackingRefBased/>
  <w15:docId w15:val="{5DD3E9C6-3C62-4FDF-B362-F146DF1E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453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453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8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5</cp:revision>
  <dcterms:created xsi:type="dcterms:W3CDTF">2020-08-17T07:22:00Z</dcterms:created>
  <dcterms:modified xsi:type="dcterms:W3CDTF">2020-08-17T08:48:00Z</dcterms:modified>
</cp:coreProperties>
</file>