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9351C" w14:textId="77777777" w:rsidR="00816D65" w:rsidRDefault="00816D65" w:rsidP="00816D65">
      <w:pPr>
        <w:autoSpaceDE w:val="0"/>
        <w:autoSpaceDN w:val="0"/>
        <w:bidi/>
        <w:adjustRightInd w:val="0"/>
        <w:spacing w:after="0" w:line="240" w:lineRule="auto"/>
        <w:rPr>
          <w:rFonts w:ascii="Traditional Arabic" w:hAnsi="Traditional Arabic" w:cs="Traditional Arabic"/>
          <w:sz w:val="36"/>
          <w:szCs w:val="36"/>
          <w:rtl/>
        </w:rPr>
      </w:pPr>
      <w:proofErr w:type="spellStart"/>
      <w:r>
        <w:rPr>
          <w:rFonts w:ascii="Traditional Arabic" w:hAnsi="Traditional Arabic" w:cs="Traditional Arabic"/>
          <w:sz w:val="36"/>
          <w:szCs w:val="36"/>
          <w:rtl/>
        </w:rPr>
        <w:t>ليلني</w:t>
      </w:r>
      <w:proofErr w:type="spellEnd"/>
      <w:r>
        <w:rPr>
          <w:rFonts w:ascii="Traditional Arabic" w:hAnsi="Traditional Arabic" w:cs="Traditional Arabic"/>
          <w:sz w:val="36"/>
          <w:szCs w:val="36"/>
          <w:rtl/>
        </w:rPr>
        <w:t xml:space="preserve"> منكم أولو الأحلام والنهى</w:t>
      </w:r>
      <w:r>
        <w:rPr>
          <w:rFonts w:ascii="Traditional Arabic" w:hAnsi="Traditional Arabic" w:cs="Traditional Arabic"/>
          <w:sz w:val="36"/>
          <w:szCs w:val="36"/>
          <w:rtl/>
        </w:rPr>
        <w:t xml:space="preserve"> </w:t>
      </w:r>
    </w:p>
    <w:p w14:paraId="153AEDF3" w14:textId="5EB1410B" w:rsidR="00816D65" w:rsidRDefault="00816D65" w:rsidP="00816D65">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 :</w:t>
      </w:r>
    </w:p>
    <w:p w14:paraId="10C74EBC" w14:textId="77777777" w:rsidR="00816D65" w:rsidRDefault="00816D65" w:rsidP="00816D65">
      <w:pPr>
        <w:autoSpaceDE w:val="0"/>
        <w:autoSpaceDN w:val="0"/>
        <w:bidi/>
        <w:adjustRightInd w:val="0"/>
        <w:spacing w:after="0" w:line="240" w:lineRule="auto"/>
        <w:rPr>
          <w:rFonts w:ascii="Traditional Arabic" w:hAnsi="Traditional Arabic" w:cs="Traditional Arabic"/>
          <w:sz w:val="36"/>
          <w:szCs w:val="36"/>
          <w:rtl/>
        </w:rPr>
      </w:pPr>
      <w:proofErr w:type="spellStart"/>
      <w:r>
        <w:rPr>
          <w:rFonts w:ascii="Traditional Arabic" w:hAnsi="Traditional Arabic" w:cs="Traditional Arabic"/>
          <w:sz w:val="36"/>
          <w:szCs w:val="36"/>
          <w:rtl/>
        </w:rPr>
        <w:t>ليلني</w:t>
      </w:r>
      <w:proofErr w:type="spellEnd"/>
      <w:r>
        <w:rPr>
          <w:rFonts w:ascii="Traditional Arabic" w:hAnsi="Traditional Arabic" w:cs="Traditional Arabic"/>
          <w:sz w:val="36"/>
          <w:szCs w:val="36"/>
          <w:rtl/>
        </w:rPr>
        <w:t xml:space="preserve"> منكم أولو الأحلام والنهى، ثم الذين يلونهم ثلاثا، وإياكم وهيشات الأسواق.</w:t>
      </w:r>
    </w:p>
    <w:p w14:paraId="49243267" w14:textId="77777777" w:rsidR="00816D65" w:rsidRDefault="00816D65" w:rsidP="00816D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2EA159F" w14:textId="6A0103BD" w:rsidR="00AB1A45" w:rsidRPr="00816D65" w:rsidRDefault="00816D65" w:rsidP="00816D6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هذا أمر بأن يقف خلف النبي صلى الله عليه وسلم في الصلاة أصحاب العقول والأفهام، ليكونوا أقرب إليه، أو أن يكون خلفه البالغون العقلاء، ثم الأقل سنا وهكذا، ثم وراءهم النساء. وإياكم وهيشات الأسواق أي: ارتفاع الأصوات، والصخب واللغط، والمنازعات في المسجد.</w:t>
      </w:r>
    </w:p>
    <w:sectPr w:rsidR="00AB1A45" w:rsidRPr="00816D65" w:rsidSect="003A77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1F5A"/>
    <w:rsid w:val="00816D65"/>
    <w:rsid w:val="00AB1A45"/>
    <w:rsid w:val="00C33ED3"/>
    <w:rsid w:val="00D01241"/>
    <w:rsid w:val="00DD1F5A"/>
    <w:rsid w:val="00F66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FBD4"/>
  <w15:chartTrackingRefBased/>
  <w15:docId w15:val="{A3F1E3CC-10C1-412E-A27C-B1AF5180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B1A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B1A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7</cp:revision>
  <dcterms:created xsi:type="dcterms:W3CDTF">2020-02-09T07:22:00Z</dcterms:created>
  <dcterms:modified xsi:type="dcterms:W3CDTF">2020-02-13T12:01:00Z</dcterms:modified>
</cp:coreProperties>
</file>