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6D" w:rsidRPr="00625B6D" w:rsidRDefault="00625B6D" w:rsidP="00625B6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 w:rsidRPr="00625B6D">
        <w:rPr>
          <w:rFonts w:ascii="Traditional Arabic" w:cs="Traditional Arabic" w:hint="eastAsia"/>
          <w:sz w:val="36"/>
          <w:szCs w:val="36"/>
          <w:rtl/>
        </w:rPr>
        <w:t>حكم</w:t>
      </w:r>
      <w:r w:rsidRPr="00625B6D">
        <w:rPr>
          <w:rFonts w:ascii="Traditional Arabic" w:cs="Traditional Arabic"/>
          <w:sz w:val="36"/>
          <w:szCs w:val="36"/>
          <w:rtl/>
        </w:rPr>
        <w:t xml:space="preserve"> </w:t>
      </w:r>
      <w:r w:rsidRPr="00625B6D">
        <w:rPr>
          <w:rFonts w:ascii="Traditional Arabic" w:cs="Traditional Arabic" w:hint="eastAsia"/>
          <w:sz w:val="36"/>
          <w:szCs w:val="36"/>
          <w:rtl/>
        </w:rPr>
        <w:t>الجلوس</w:t>
      </w:r>
      <w:r w:rsidRPr="00625B6D">
        <w:rPr>
          <w:rFonts w:ascii="Traditional Arabic" w:cs="Traditional Arabic"/>
          <w:sz w:val="36"/>
          <w:szCs w:val="36"/>
          <w:rtl/>
        </w:rPr>
        <w:t xml:space="preserve"> </w:t>
      </w:r>
      <w:r w:rsidRPr="00625B6D">
        <w:rPr>
          <w:rFonts w:ascii="Traditional Arabic" w:cs="Traditional Arabic" w:hint="eastAsia"/>
          <w:sz w:val="36"/>
          <w:szCs w:val="36"/>
          <w:rtl/>
        </w:rPr>
        <w:t>متكئا</w:t>
      </w:r>
      <w:r w:rsidRPr="00625B6D">
        <w:rPr>
          <w:rFonts w:ascii="Traditional Arabic" w:cs="Traditional Arabic"/>
          <w:sz w:val="36"/>
          <w:szCs w:val="36"/>
          <w:rtl/>
        </w:rPr>
        <w:t xml:space="preserve"> </w:t>
      </w:r>
      <w:r w:rsidRPr="00625B6D">
        <w:rPr>
          <w:rFonts w:ascii="Traditional Arabic" w:cs="Traditional Arabic" w:hint="eastAsia"/>
          <w:sz w:val="36"/>
          <w:szCs w:val="36"/>
          <w:rtl/>
        </w:rPr>
        <w:t>على</w:t>
      </w:r>
      <w:r w:rsidRPr="00625B6D">
        <w:rPr>
          <w:rFonts w:ascii="Traditional Arabic" w:cs="Traditional Arabic"/>
          <w:sz w:val="36"/>
          <w:szCs w:val="36"/>
          <w:rtl/>
        </w:rPr>
        <w:t xml:space="preserve"> </w:t>
      </w:r>
      <w:r w:rsidRPr="00625B6D">
        <w:rPr>
          <w:rFonts w:ascii="Traditional Arabic" w:cs="Traditional Arabic" w:hint="eastAsia"/>
          <w:sz w:val="36"/>
          <w:szCs w:val="36"/>
          <w:rtl/>
        </w:rPr>
        <w:t>ألية</w:t>
      </w:r>
      <w:r w:rsidRPr="00625B6D">
        <w:rPr>
          <w:rFonts w:ascii="Traditional Arabic" w:cs="Traditional Arabic"/>
          <w:sz w:val="36"/>
          <w:szCs w:val="36"/>
          <w:rtl/>
        </w:rPr>
        <w:t xml:space="preserve"> </w:t>
      </w:r>
      <w:r w:rsidRPr="00625B6D">
        <w:rPr>
          <w:rFonts w:ascii="Traditional Arabic" w:cs="Traditional Arabic" w:hint="eastAsia"/>
          <w:sz w:val="36"/>
          <w:szCs w:val="36"/>
          <w:rtl/>
        </w:rPr>
        <w:t>يده</w:t>
      </w:r>
      <w:r w:rsidRPr="00625B6D">
        <w:rPr>
          <w:rFonts w:ascii="Traditional Arabic" w:cs="Traditional Arabic"/>
          <w:sz w:val="36"/>
          <w:szCs w:val="36"/>
          <w:rtl/>
        </w:rPr>
        <w:t xml:space="preserve"> </w:t>
      </w:r>
      <w:r w:rsidRPr="00625B6D">
        <w:rPr>
          <w:rFonts w:ascii="Traditional Arabic" w:cs="Traditional Arabic" w:hint="eastAsia"/>
          <w:sz w:val="36"/>
          <w:szCs w:val="36"/>
          <w:rtl/>
        </w:rPr>
        <w:t>اليسرى</w:t>
      </w:r>
      <w:r w:rsidRPr="00625B6D">
        <w:rPr>
          <w:rFonts w:ascii="Traditional Arabic" w:cs="Traditional Arabic"/>
          <w:sz w:val="36"/>
          <w:szCs w:val="36"/>
          <w:rtl/>
        </w:rPr>
        <w:t xml:space="preserve"> </w:t>
      </w:r>
      <w:r w:rsidRPr="00625B6D">
        <w:rPr>
          <w:rFonts w:ascii="Traditional Arabic" w:cs="Traditional Arabic" w:hint="eastAsia"/>
          <w:sz w:val="36"/>
          <w:szCs w:val="36"/>
          <w:rtl/>
        </w:rPr>
        <w:t>خلف</w:t>
      </w:r>
      <w:r w:rsidRPr="00625B6D">
        <w:rPr>
          <w:rFonts w:ascii="Traditional Arabic" w:cs="Traditional Arabic"/>
          <w:sz w:val="36"/>
          <w:szCs w:val="36"/>
          <w:rtl/>
        </w:rPr>
        <w:t xml:space="preserve"> </w:t>
      </w:r>
      <w:r w:rsidRPr="00625B6D">
        <w:rPr>
          <w:rFonts w:ascii="Traditional Arabic" w:cs="Traditional Arabic" w:hint="eastAsia"/>
          <w:sz w:val="36"/>
          <w:szCs w:val="36"/>
          <w:rtl/>
        </w:rPr>
        <w:t>ظهره</w:t>
      </w:r>
    </w:p>
    <w:p w:rsidR="00625B6D" w:rsidRPr="00F33632" w:rsidRDefault="00625B6D" w:rsidP="00F3363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 w:rsidRPr="00625B6D">
        <w:rPr>
          <w:rFonts w:ascii="Traditional Arabic" w:cs="Traditional Arabic" w:hint="eastAsia"/>
          <w:sz w:val="36"/>
          <w:szCs w:val="36"/>
          <w:rtl/>
        </w:rPr>
        <w:t>قال</w:t>
      </w:r>
      <w:r w:rsidRPr="00625B6D">
        <w:rPr>
          <w:rFonts w:ascii="Traditional Arabic" w:cs="Traditional Arabic"/>
          <w:sz w:val="36"/>
          <w:szCs w:val="36"/>
          <w:rtl/>
        </w:rPr>
        <w:t xml:space="preserve"> </w:t>
      </w:r>
      <w:r w:rsidRPr="00625B6D">
        <w:rPr>
          <w:rFonts w:ascii="Traditional Arabic" w:cs="Traditional Arabic" w:hint="eastAsia"/>
          <w:sz w:val="36"/>
          <w:szCs w:val="36"/>
          <w:rtl/>
        </w:rPr>
        <w:t>الشريد</w:t>
      </w:r>
      <w:r w:rsidRPr="00625B6D">
        <w:rPr>
          <w:rFonts w:ascii="Traditional Arabic" w:cs="Traditional Arabic"/>
          <w:sz w:val="36"/>
          <w:szCs w:val="36"/>
          <w:rtl/>
        </w:rPr>
        <w:t xml:space="preserve"> </w:t>
      </w:r>
      <w:r w:rsidRPr="00625B6D">
        <w:rPr>
          <w:rFonts w:ascii="Traditional Arabic" w:cs="Traditional Arabic" w:hint="eastAsia"/>
          <w:sz w:val="36"/>
          <w:szCs w:val="36"/>
          <w:rtl/>
        </w:rPr>
        <w:t>بن</w:t>
      </w:r>
      <w:r w:rsidRPr="00625B6D">
        <w:rPr>
          <w:rFonts w:ascii="Traditional Arabic" w:cs="Traditional Arabic"/>
          <w:sz w:val="36"/>
          <w:szCs w:val="36"/>
          <w:rtl/>
        </w:rPr>
        <w:t xml:space="preserve"> </w:t>
      </w:r>
      <w:r w:rsidRPr="00625B6D">
        <w:rPr>
          <w:rFonts w:ascii="Traditional Arabic" w:cs="Traditional Arabic" w:hint="eastAsia"/>
          <w:sz w:val="36"/>
          <w:szCs w:val="36"/>
          <w:rtl/>
        </w:rPr>
        <w:t>السويد</w:t>
      </w:r>
      <w:r w:rsidRPr="00625B6D">
        <w:rPr>
          <w:rFonts w:ascii="Traditional Arabic" w:cs="Traditional Arabic"/>
          <w:sz w:val="36"/>
          <w:szCs w:val="36"/>
          <w:rtl/>
        </w:rPr>
        <w:t xml:space="preserve"> : </w:t>
      </w:r>
      <w:r w:rsidRPr="00625B6D">
        <w:rPr>
          <w:rFonts w:ascii="Traditional Arabic" w:cs="Traditional Arabic" w:hint="eastAsia"/>
          <w:sz w:val="36"/>
          <w:szCs w:val="36"/>
          <w:rtl/>
        </w:rPr>
        <w:t>مر</w:t>
      </w:r>
      <w:r w:rsidRPr="00625B6D">
        <w:rPr>
          <w:rFonts w:ascii="Traditional Arabic" w:cs="Traditional Arabic"/>
          <w:sz w:val="36"/>
          <w:szCs w:val="36"/>
          <w:rtl/>
        </w:rPr>
        <w:t xml:space="preserve"> </w:t>
      </w:r>
      <w:r w:rsidRPr="00625B6D">
        <w:rPr>
          <w:rFonts w:ascii="Traditional Arabic" w:cs="Traditional Arabic" w:hint="eastAsia"/>
          <w:sz w:val="36"/>
          <w:szCs w:val="36"/>
          <w:rtl/>
        </w:rPr>
        <w:t>بي</w:t>
      </w:r>
      <w:r w:rsidRPr="00625B6D">
        <w:rPr>
          <w:rFonts w:ascii="Traditional Arabic" w:cs="Traditional Arabic"/>
          <w:sz w:val="36"/>
          <w:szCs w:val="36"/>
          <w:rtl/>
        </w:rPr>
        <w:t xml:space="preserve"> </w:t>
      </w:r>
      <w:r w:rsidRPr="00625B6D">
        <w:rPr>
          <w:rFonts w:ascii="Traditional Arabic" w:cs="Traditional Arabic" w:hint="eastAsia"/>
          <w:sz w:val="36"/>
          <w:szCs w:val="36"/>
          <w:rtl/>
        </w:rPr>
        <w:t>رسول</w:t>
      </w:r>
      <w:r w:rsidRPr="00625B6D">
        <w:rPr>
          <w:rFonts w:ascii="Traditional Arabic" w:cs="Traditional Arabic"/>
          <w:sz w:val="36"/>
          <w:szCs w:val="36"/>
          <w:rtl/>
        </w:rPr>
        <w:t xml:space="preserve"> </w:t>
      </w:r>
      <w:r w:rsidRPr="00625B6D">
        <w:rPr>
          <w:rFonts w:ascii="Traditional Arabic" w:cs="Traditional Arabic" w:hint="eastAsia"/>
          <w:sz w:val="36"/>
          <w:szCs w:val="36"/>
          <w:rtl/>
        </w:rPr>
        <w:t>الله</w:t>
      </w:r>
      <w:r w:rsidRPr="00625B6D">
        <w:rPr>
          <w:rFonts w:ascii="Traditional Arabic" w:cs="Traditional Arabic"/>
          <w:sz w:val="36"/>
          <w:szCs w:val="36"/>
          <w:rtl/>
        </w:rPr>
        <w:t xml:space="preserve"> </w:t>
      </w:r>
      <w:r w:rsidRPr="00625B6D">
        <w:rPr>
          <w:rFonts w:ascii="Traditional Arabic" w:cs="Traditional Arabic" w:hint="eastAsia"/>
          <w:sz w:val="36"/>
          <w:szCs w:val="36"/>
          <w:rtl/>
        </w:rPr>
        <w:t>صلى</w:t>
      </w:r>
      <w:r w:rsidRPr="00625B6D">
        <w:rPr>
          <w:rFonts w:ascii="Traditional Arabic" w:cs="Traditional Arabic"/>
          <w:sz w:val="36"/>
          <w:szCs w:val="36"/>
          <w:rtl/>
        </w:rPr>
        <w:t xml:space="preserve"> </w:t>
      </w:r>
      <w:r w:rsidRPr="00625B6D">
        <w:rPr>
          <w:rFonts w:ascii="Traditional Arabic" w:cs="Traditional Arabic" w:hint="eastAsia"/>
          <w:sz w:val="36"/>
          <w:szCs w:val="36"/>
          <w:rtl/>
        </w:rPr>
        <w:t>الله</w:t>
      </w:r>
      <w:r w:rsidRPr="00625B6D">
        <w:rPr>
          <w:rFonts w:ascii="Traditional Arabic" w:cs="Traditional Arabic"/>
          <w:sz w:val="36"/>
          <w:szCs w:val="36"/>
          <w:rtl/>
        </w:rPr>
        <w:t xml:space="preserve"> </w:t>
      </w:r>
      <w:r w:rsidRPr="00625B6D">
        <w:rPr>
          <w:rFonts w:ascii="Traditional Arabic" w:cs="Traditional Arabic" w:hint="eastAsia"/>
          <w:sz w:val="36"/>
          <w:szCs w:val="36"/>
          <w:rtl/>
        </w:rPr>
        <w:t>عليه</w:t>
      </w:r>
      <w:r w:rsidRPr="00625B6D">
        <w:rPr>
          <w:rFonts w:ascii="Traditional Arabic" w:cs="Traditional Arabic"/>
          <w:sz w:val="36"/>
          <w:szCs w:val="36"/>
          <w:rtl/>
        </w:rPr>
        <w:t xml:space="preserve"> </w:t>
      </w:r>
      <w:r w:rsidRPr="00625B6D">
        <w:rPr>
          <w:rFonts w:ascii="Traditional Arabic" w:cs="Traditional Arabic" w:hint="eastAsia"/>
          <w:sz w:val="36"/>
          <w:szCs w:val="36"/>
          <w:rtl/>
        </w:rPr>
        <w:t>وسلم</w:t>
      </w:r>
      <w:r w:rsidRPr="00625B6D">
        <w:rPr>
          <w:rFonts w:ascii="Traditional Arabic" w:cs="Traditional Arabic"/>
          <w:sz w:val="36"/>
          <w:szCs w:val="36"/>
          <w:rtl/>
        </w:rPr>
        <w:t xml:space="preserve"> </w:t>
      </w:r>
      <w:r w:rsidRPr="00625B6D">
        <w:rPr>
          <w:rFonts w:ascii="Traditional Arabic" w:cs="Traditional Arabic" w:hint="eastAsia"/>
          <w:sz w:val="36"/>
          <w:szCs w:val="36"/>
          <w:rtl/>
        </w:rPr>
        <w:t>وأنا</w:t>
      </w:r>
      <w:r w:rsidRPr="00625B6D">
        <w:rPr>
          <w:rFonts w:ascii="Traditional Arabic" w:cs="Traditional Arabic"/>
          <w:sz w:val="36"/>
          <w:szCs w:val="36"/>
          <w:rtl/>
        </w:rPr>
        <w:t xml:space="preserve"> </w:t>
      </w:r>
      <w:r w:rsidRPr="00625B6D">
        <w:rPr>
          <w:rFonts w:ascii="Traditional Arabic" w:cs="Traditional Arabic" w:hint="eastAsia"/>
          <w:sz w:val="36"/>
          <w:szCs w:val="36"/>
          <w:rtl/>
        </w:rPr>
        <w:t>جالس</w:t>
      </w:r>
      <w:r w:rsidRPr="00625B6D">
        <w:rPr>
          <w:rFonts w:ascii="Traditional Arabic" w:cs="Traditional Arabic"/>
          <w:sz w:val="36"/>
          <w:szCs w:val="36"/>
          <w:rtl/>
        </w:rPr>
        <w:t xml:space="preserve"> </w:t>
      </w:r>
      <w:r w:rsidRPr="00625B6D">
        <w:rPr>
          <w:rFonts w:ascii="Traditional Arabic" w:cs="Traditional Arabic" w:hint="eastAsia"/>
          <w:sz w:val="36"/>
          <w:szCs w:val="36"/>
          <w:rtl/>
        </w:rPr>
        <w:t>هكذا</w:t>
      </w:r>
      <w:r w:rsidR="00F33632">
        <w:rPr>
          <w:rFonts w:ascii="Traditional Arabic" w:cstheme="minorBidi" w:hint="cs"/>
          <w:sz w:val="36"/>
          <w:szCs w:val="36"/>
          <w:rtl/>
          <w:lang w:bidi="he-IL"/>
        </w:rPr>
        <w:t xml:space="preserve"> </w:t>
      </w:r>
      <w:r w:rsidRPr="00625B6D">
        <w:rPr>
          <w:rFonts w:ascii="Traditional Arabic" w:cs="Traditional Arabic" w:hint="eastAsia"/>
          <w:sz w:val="36"/>
          <w:szCs w:val="36"/>
          <w:rtl/>
        </w:rPr>
        <w:t>وقد</w:t>
      </w:r>
      <w:r w:rsidRPr="00625B6D">
        <w:rPr>
          <w:rFonts w:ascii="Traditional Arabic" w:cs="Traditional Arabic"/>
          <w:sz w:val="36"/>
          <w:szCs w:val="36"/>
          <w:rtl/>
        </w:rPr>
        <w:t xml:space="preserve"> </w:t>
      </w:r>
      <w:r w:rsidRPr="00625B6D">
        <w:rPr>
          <w:rFonts w:ascii="Traditional Arabic" w:cs="Traditional Arabic" w:hint="eastAsia"/>
          <w:sz w:val="36"/>
          <w:szCs w:val="36"/>
          <w:rtl/>
        </w:rPr>
        <w:t>وضعت</w:t>
      </w:r>
      <w:r w:rsidRPr="00625B6D">
        <w:rPr>
          <w:rFonts w:ascii="Traditional Arabic" w:cs="Traditional Arabic"/>
          <w:sz w:val="36"/>
          <w:szCs w:val="36"/>
          <w:rtl/>
        </w:rPr>
        <w:t xml:space="preserve"> </w:t>
      </w:r>
      <w:r w:rsidRPr="00625B6D">
        <w:rPr>
          <w:rFonts w:ascii="Traditional Arabic" w:cs="Traditional Arabic" w:hint="eastAsia"/>
          <w:sz w:val="36"/>
          <w:szCs w:val="36"/>
          <w:rtl/>
        </w:rPr>
        <w:t>يدي</w:t>
      </w:r>
      <w:r w:rsidRPr="00625B6D">
        <w:rPr>
          <w:rFonts w:ascii="Traditional Arabic" w:cs="Traditional Arabic"/>
          <w:sz w:val="36"/>
          <w:szCs w:val="36"/>
          <w:rtl/>
        </w:rPr>
        <w:t xml:space="preserve"> </w:t>
      </w:r>
      <w:r w:rsidRPr="00625B6D">
        <w:rPr>
          <w:rFonts w:ascii="Traditional Arabic" w:cs="Traditional Arabic" w:hint="eastAsia"/>
          <w:sz w:val="36"/>
          <w:szCs w:val="36"/>
          <w:rtl/>
        </w:rPr>
        <w:t>اليسرى</w:t>
      </w:r>
      <w:r w:rsidRPr="00625B6D">
        <w:rPr>
          <w:rFonts w:ascii="Traditional Arabic" w:cs="Traditional Arabic"/>
          <w:sz w:val="36"/>
          <w:szCs w:val="36"/>
          <w:rtl/>
        </w:rPr>
        <w:t xml:space="preserve"> </w:t>
      </w:r>
      <w:r w:rsidRPr="00625B6D">
        <w:rPr>
          <w:rFonts w:ascii="Traditional Arabic" w:cs="Traditional Arabic" w:hint="eastAsia"/>
          <w:sz w:val="36"/>
          <w:szCs w:val="36"/>
          <w:rtl/>
        </w:rPr>
        <w:t>خلف</w:t>
      </w:r>
      <w:r w:rsidRPr="00625B6D">
        <w:rPr>
          <w:rFonts w:ascii="Traditional Arabic" w:cs="Traditional Arabic"/>
          <w:sz w:val="36"/>
          <w:szCs w:val="36"/>
          <w:rtl/>
        </w:rPr>
        <w:t xml:space="preserve"> </w:t>
      </w:r>
      <w:r w:rsidRPr="00625B6D">
        <w:rPr>
          <w:rFonts w:ascii="Traditional Arabic" w:cs="Traditional Arabic" w:hint="eastAsia"/>
          <w:sz w:val="36"/>
          <w:szCs w:val="36"/>
          <w:rtl/>
        </w:rPr>
        <w:t>ظهري</w:t>
      </w:r>
      <w:r w:rsidRPr="00625B6D">
        <w:rPr>
          <w:rFonts w:ascii="Traditional Arabic" w:cs="Traditional Arabic"/>
          <w:sz w:val="36"/>
          <w:szCs w:val="36"/>
          <w:rtl/>
        </w:rPr>
        <w:t xml:space="preserve"> </w:t>
      </w:r>
      <w:r w:rsidRPr="00625B6D">
        <w:rPr>
          <w:rFonts w:ascii="Traditional Arabic" w:cs="Traditional Arabic" w:hint="eastAsia"/>
          <w:sz w:val="36"/>
          <w:szCs w:val="36"/>
          <w:rtl/>
        </w:rPr>
        <w:t>واتكأت</w:t>
      </w:r>
      <w:r w:rsidRPr="00625B6D">
        <w:rPr>
          <w:rFonts w:ascii="Traditional Arabic" w:cs="Traditional Arabic"/>
          <w:sz w:val="36"/>
          <w:szCs w:val="36"/>
          <w:rtl/>
        </w:rPr>
        <w:t xml:space="preserve"> </w:t>
      </w:r>
      <w:r w:rsidRPr="00625B6D">
        <w:rPr>
          <w:rFonts w:ascii="Traditional Arabic" w:cs="Traditional Arabic" w:hint="eastAsia"/>
          <w:sz w:val="36"/>
          <w:szCs w:val="36"/>
          <w:rtl/>
        </w:rPr>
        <w:t>على</w:t>
      </w:r>
      <w:r w:rsidRPr="00625B6D">
        <w:rPr>
          <w:rFonts w:ascii="Traditional Arabic" w:cs="Traditional Arabic"/>
          <w:sz w:val="36"/>
          <w:szCs w:val="36"/>
          <w:rtl/>
        </w:rPr>
        <w:t xml:space="preserve"> </w:t>
      </w:r>
      <w:r w:rsidRPr="00625B6D">
        <w:rPr>
          <w:rFonts w:ascii="Traditional Arabic" w:cs="Traditional Arabic" w:hint="eastAsia"/>
          <w:sz w:val="36"/>
          <w:szCs w:val="36"/>
          <w:rtl/>
        </w:rPr>
        <w:t>ألية</w:t>
      </w:r>
      <w:r w:rsidRPr="00625B6D">
        <w:rPr>
          <w:rFonts w:ascii="Traditional Arabic" w:cs="Traditional Arabic"/>
          <w:sz w:val="36"/>
          <w:szCs w:val="36"/>
          <w:rtl/>
        </w:rPr>
        <w:t xml:space="preserve"> </w:t>
      </w:r>
      <w:r w:rsidRPr="00625B6D">
        <w:rPr>
          <w:rFonts w:ascii="Traditional Arabic" w:cs="Traditional Arabic" w:hint="eastAsia"/>
          <w:sz w:val="36"/>
          <w:szCs w:val="36"/>
          <w:rtl/>
        </w:rPr>
        <w:t>يدي</w:t>
      </w:r>
      <w:r w:rsidRPr="00625B6D">
        <w:rPr>
          <w:rFonts w:ascii="Traditional Arabic" w:cs="Traditional Arabic"/>
          <w:sz w:val="36"/>
          <w:szCs w:val="36"/>
          <w:rtl/>
        </w:rPr>
        <w:t xml:space="preserve"> </w:t>
      </w:r>
      <w:r w:rsidRPr="00625B6D">
        <w:rPr>
          <w:rFonts w:ascii="Traditional Arabic" w:cs="Traditional Arabic" w:hint="eastAsia"/>
          <w:sz w:val="36"/>
          <w:szCs w:val="36"/>
          <w:rtl/>
        </w:rPr>
        <w:t>فقال</w:t>
      </w:r>
      <w:r w:rsidRPr="00625B6D">
        <w:rPr>
          <w:rFonts w:ascii="Traditional Arabic" w:cs="Traditional Arabic"/>
          <w:sz w:val="36"/>
          <w:szCs w:val="36"/>
          <w:rtl/>
        </w:rPr>
        <w:t xml:space="preserve"> </w:t>
      </w:r>
      <w:r w:rsidRPr="00625B6D">
        <w:rPr>
          <w:rFonts w:ascii="Traditional Arabic" w:cs="Traditional Arabic" w:hint="eastAsia"/>
          <w:sz w:val="36"/>
          <w:szCs w:val="36"/>
          <w:rtl/>
        </w:rPr>
        <w:t>لي</w:t>
      </w:r>
      <w:r w:rsidRPr="00625B6D">
        <w:rPr>
          <w:rFonts w:ascii="Traditional Arabic" w:cs="Traditional Arabic"/>
          <w:sz w:val="36"/>
          <w:szCs w:val="36"/>
          <w:rtl/>
        </w:rPr>
        <w:t xml:space="preserve"> : </w:t>
      </w:r>
      <w:r w:rsidRPr="00625B6D">
        <w:rPr>
          <w:rFonts w:ascii="Tahoma" w:hAnsi="Tahoma" w:cs="Traditional Arabic"/>
          <w:sz w:val="36"/>
          <w:szCs w:val="36"/>
          <w:rtl/>
        </w:rPr>
        <w:t>“</w:t>
      </w:r>
      <w:r w:rsidRPr="00625B6D">
        <w:rPr>
          <w:rFonts w:ascii="Tahoma" w:hAnsi="Tahoma" w:cs="Traditional Arabic" w:hint="eastAsia"/>
          <w:sz w:val="36"/>
          <w:szCs w:val="36"/>
          <w:rtl/>
        </w:rPr>
        <w:t>أتقعد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قعدة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المغضوب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عليهم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”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رواه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أحمد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وأبو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داود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وصححه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الألباني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وفي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رواية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لأبي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داود</w:t>
      </w:r>
      <w:r w:rsidR="0076663D">
        <w:rPr>
          <w:rFonts w:ascii="Tahoma" w:hAnsi="Tahoma" w:cs="Traditional Arabic"/>
          <w:sz w:val="36"/>
          <w:szCs w:val="36"/>
        </w:rPr>
        <w:t xml:space="preserve"> 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“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لا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تجلس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هكذا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إنما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هذه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جلسة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الذين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يعذبون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” </w:t>
      </w:r>
      <w:bookmarkStart w:id="0" w:name="_GoBack"/>
      <w:bookmarkEnd w:id="0"/>
      <w:r w:rsidRPr="00625B6D">
        <w:rPr>
          <w:rFonts w:ascii="Tahoma" w:hAnsi="Tahoma" w:cs="Traditional Arabic" w:hint="eastAsia"/>
          <w:sz w:val="36"/>
          <w:szCs w:val="36"/>
          <w:rtl/>
        </w:rPr>
        <w:t>حسنه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الألباني</w:t>
      </w:r>
    </w:p>
    <w:p w:rsidR="00625B6D" w:rsidRPr="00625B6D" w:rsidRDefault="00625B6D" w:rsidP="0076663D">
      <w:pPr>
        <w:autoSpaceDE w:val="0"/>
        <w:autoSpaceDN w:val="0"/>
        <w:adjustRightInd w:val="0"/>
        <w:rPr>
          <w:rFonts w:ascii="Tahoma" w:hAnsi="Tahoma" w:cs="Traditional Arabic"/>
          <w:sz w:val="36"/>
          <w:szCs w:val="36"/>
          <w:rtl/>
        </w:rPr>
      </w:pPr>
      <w:r w:rsidRPr="00625B6D">
        <w:rPr>
          <w:rFonts w:ascii="Tahoma" w:hAnsi="Tahoma" w:cs="Traditional Arabic" w:hint="eastAsia"/>
          <w:sz w:val="36"/>
          <w:szCs w:val="36"/>
          <w:rtl/>
        </w:rPr>
        <w:t>قال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الشيخ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ابن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عثيمين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رحمه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الله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:”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هذه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القعدة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وصفها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النبي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صلى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الله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عليه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وعلى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آله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وسلم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بأنها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قعدة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المغضوب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عليهم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.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أما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وضع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اليدين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كلتيهما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من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وراء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ظهره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واتكأ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عليهما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فلا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بأس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،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ولو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وضع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اليد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اليمنى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فلا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بأس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،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إنما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التي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وصفها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النبي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عليه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الصلاة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والسلام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بأنها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قعدة</w:t>
      </w:r>
      <w:r w:rsidR="0076663D">
        <w:rPr>
          <w:rFonts w:ascii="Tahoma" w:hAnsi="Tahoma" w:cs="Traditional Arabic"/>
          <w:sz w:val="36"/>
          <w:szCs w:val="36"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المغضوب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عليهم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أن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يجعل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اليد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اليسرى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من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خلف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ظهره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ويجعل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باطنها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أي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أليتها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على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الأرض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ويتكئ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عليها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،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فهذه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هي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التي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وصفها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النبي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صلى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الله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عليه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وسلم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بأنها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قعدة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المغضوب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عليهم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”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انتهى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.</w:t>
      </w:r>
      <w:r w:rsidRPr="00625B6D">
        <w:rPr>
          <w:rFonts w:ascii="Tahoma" w:hAnsi="Tahoma" w:cs="Traditional Arabic" w:hint="eastAsia"/>
          <w:sz w:val="36"/>
          <w:szCs w:val="36"/>
          <w:rtl/>
        </w:rPr>
        <w:t>وقال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أيضا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:”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الحديث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معناه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واضح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يعني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أن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الإنسان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لا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يتكيء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على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يده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اليسرى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وهي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خلفه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جاعلا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راحته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على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الأرض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.</w:t>
      </w:r>
    </w:p>
    <w:p w:rsidR="00625B6D" w:rsidRPr="00625B6D" w:rsidRDefault="00625B6D" w:rsidP="00625B6D">
      <w:pPr>
        <w:autoSpaceDE w:val="0"/>
        <w:autoSpaceDN w:val="0"/>
        <w:adjustRightInd w:val="0"/>
        <w:rPr>
          <w:rFonts w:ascii="Tahoma" w:hAnsi="Tahoma" w:cs="Traditional Arabic"/>
          <w:sz w:val="36"/>
          <w:szCs w:val="36"/>
          <w:rtl/>
        </w:rPr>
      </w:pPr>
      <w:r w:rsidRPr="00625B6D">
        <w:rPr>
          <w:rFonts w:ascii="Tahoma" w:hAnsi="Tahoma" w:cs="Traditional Arabic" w:hint="eastAsia"/>
          <w:sz w:val="36"/>
          <w:szCs w:val="36"/>
          <w:rtl/>
        </w:rPr>
        <w:t>فسئل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الشيخ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: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إذا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قصد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الإنسان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أيضا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بهذه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الجلسة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الاستراحة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وعدم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تقليد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اليهود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هل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يأثم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بذلك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؟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فأجاب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: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إذا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قصد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هذا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فليجعل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اليمنى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معها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ويزول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النهي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”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انتهى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.</w:t>
      </w:r>
    </w:p>
    <w:p w:rsidR="00625B6D" w:rsidRPr="00625B6D" w:rsidRDefault="00625B6D" w:rsidP="0076663D">
      <w:pPr>
        <w:autoSpaceDE w:val="0"/>
        <w:autoSpaceDN w:val="0"/>
        <w:adjustRightInd w:val="0"/>
        <w:rPr>
          <w:rFonts w:ascii="Tahoma" w:hAnsi="Tahoma" w:cs="Traditional Arabic"/>
          <w:sz w:val="36"/>
          <w:szCs w:val="36"/>
          <w:rtl/>
        </w:rPr>
      </w:pPr>
      <w:r w:rsidRPr="00625B6D">
        <w:rPr>
          <w:rFonts w:ascii="Tahoma" w:hAnsi="Tahoma" w:cs="Traditional Arabic" w:hint="eastAsia"/>
          <w:sz w:val="36"/>
          <w:szCs w:val="36"/>
          <w:rtl/>
        </w:rPr>
        <w:t>والخلاصة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:</w:t>
      </w:r>
      <w:r w:rsidRPr="00625B6D">
        <w:rPr>
          <w:rFonts w:ascii="Tahoma" w:hAnsi="Tahoma" w:cs="Traditional Arabic" w:hint="eastAsia"/>
          <w:sz w:val="36"/>
          <w:szCs w:val="36"/>
          <w:rtl/>
        </w:rPr>
        <w:t>أنه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ينهى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عن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هذه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الجلسة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في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الصلاة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وغيرها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،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سواء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قصد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التشبه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بالمغضوب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عليه</w:t>
      </w:r>
    </w:p>
    <w:p w:rsidR="0009043F" w:rsidRDefault="00625B6D" w:rsidP="0076663D">
      <w:pPr>
        <w:autoSpaceDE w:val="0"/>
        <w:autoSpaceDN w:val="0"/>
        <w:adjustRightInd w:val="0"/>
        <w:rPr>
          <w:rFonts w:ascii="Tahoma" w:hAnsi="Tahoma" w:cs="Traditional Arabic"/>
          <w:sz w:val="36"/>
          <w:szCs w:val="36"/>
          <w:rtl/>
        </w:rPr>
      </w:pPr>
      <w:r w:rsidRPr="00625B6D">
        <w:rPr>
          <w:rFonts w:ascii="Tahoma" w:hAnsi="Tahoma" w:cs="Traditional Arabic" w:hint="eastAsia"/>
          <w:sz w:val="36"/>
          <w:szCs w:val="36"/>
          <w:rtl/>
        </w:rPr>
        <w:t>من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اليهود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أم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غيرهم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من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المتكبرين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والمتجبرين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أو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لم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يقصد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،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ووصف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هذه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الجلسة</w:t>
      </w:r>
      <w:r w:rsidR="0076663D">
        <w:rPr>
          <w:rFonts w:ascii="Tahoma" w:hAnsi="Tahoma" w:cs="Traditional Arabic"/>
          <w:sz w:val="36"/>
          <w:szCs w:val="36"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بأنها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جلسة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المغضوب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عليهم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،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وجلسة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الذين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يعذبون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يجعل</w:t>
      </w:r>
      <w:r w:rsidR="0076663D">
        <w:rPr>
          <w:rFonts w:ascii="Tahoma" w:hAnsi="Tahoma" w:cs="Traditional Arabic"/>
          <w:sz w:val="36"/>
          <w:szCs w:val="36"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القول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بالتحريم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أقوى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من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القول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بالكراهة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. </w:t>
      </w:r>
      <w:r w:rsidRPr="00625B6D">
        <w:rPr>
          <w:rFonts w:ascii="Tahoma" w:hAnsi="Tahoma" w:cs="Traditional Arabic" w:hint="eastAsia"/>
          <w:sz w:val="36"/>
          <w:szCs w:val="36"/>
          <w:rtl/>
        </w:rPr>
        <w:t>والله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</w:t>
      </w:r>
      <w:r w:rsidRPr="00625B6D">
        <w:rPr>
          <w:rFonts w:ascii="Tahoma" w:hAnsi="Tahoma" w:cs="Traditional Arabic" w:hint="eastAsia"/>
          <w:sz w:val="36"/>
          <w:szCs w:val="36"/>
          <w:rtl/>
        </w:rPr>
        <w:t>أعلم</w:t>
      </w:r>
      <w:r w:rsidRPr="00625B6D">
        <w:rPr>
          <w:rFonts w:ascii="Tahoma" w:hAnsi="Tahoma" w:cs="Traditional Arabic"/>
          <w:sz w:val="36"/>
          <w:szCs w:val="36"/>
          <w:rtl/>
        </w:rPr>
        <w:t xml:space="preserve"> .</w:t>
      </w:r>
    </w:p>
    <w:p w:rsidR="0048545E" w:rsidRPr="0076663D" w:rsidRDefault="0009043F" w:rsidP="0076663D">
      <w:pPr>
        <w:autoSpaceDE w:val="0"/>
        <w:autoSpaceDN w:val="0"/>
        <w:adjustRightInd w:val="0"/>
        <w:rPr>
          <w:rFonts w:ascii="Tahoma" w:hAnsi="Tahoma" w:cs="Traditional Arabic"/>
          <w:sz w:val="36"/>
          <w:szCs w:val="36"/>
          <w:rtl/>
        </w:rPr>
      </w:pPr>
      <w:r>
        <w:rPr>
          <w:rFonts w:ascii="Tahoma" w:hAnsi="Tahoma" w:cs="Traditional Arabic" w:hint="cs"/>
          <w:sz w:val="36"/>
          <w:szCs w:val="36"/>
          <w:rtl/>
        </w:rPr>
        <w:t>الإسلام سؤال وجواب</w:t>
      </w:r>
    </w:p>
    <w:sectPr w:rsidR="0048545E" w:rsidRPr="0076663D" w:rsidSect="00625B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9043F"/>
    <w:rsid w:val="003D1E22"/>
    <w:rsid w:val="0048545E"/>
    <w:rsid w:val="00625B6D"/>
    <w:rsid w:val="0076663D"/>
    <w:rsid w:val="009C2ED6"/>
    <w:rsid w:val="00AF3520"/>
    <w:rsid w:val="00F3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296EA"/>
  <w15:docId w15:val="{BE0EDB85-6598-4C0B-866C-4C467B32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545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الجلوس متكئا على ألية يده اليسرى خلف ظهره</vt:lpstr>
    </vt:vector>
  </TitlesOfParts>
  <Company>asrg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الجلوس متكئا على ألية يده اليسرى خلف ظهره</dc:title>
  <dc:subject/>
  <dc:creator>mohamed.mohamed</dc:creator>
  <cp:keywords/>
  <dc:description/>
  <cp:lastModifiedBy>Islam Abuelhija</cp:lastModifiedBy>
  <cp:revision>7</cp:revision>
  <dcterms:created xsi:type="dcterms:W3CDTF">2014-09-01T22:34:00Z</dcterms:created>
  <dcterms:modified xsi:type="dcterms:W3CDTF">2017-02-16T09:38:00Z</dcterms:modified>
</cp:coreProperties>
</file>