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0D" w:rsidRDefault="00894D0D" w:rsidP="00894D0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الغموس</w:t>
      </w:r>
    </w:p>
    <w:p w:rsidR="00894D0D" w:rsidRDefault="00894D0D" w:rsidP="00894D0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أولا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الغموس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الكاذبة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غموسا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894D0D" w:rsidRDefault="00894D0D" w:rsidP="00894D0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ثانيا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اختلف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الغموس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قولين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94D0D" w:rsidRDefault="00AD331D" w:rsidP="00AD33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-</w:t>
      </w:r>
      <w:r w:rsidR="00894D0D">
        <w:rPr>
          <w:rFonts w:ascii="Traditional Arabic" w:cs="Traditional Arabic" w:hint="eastAsia"/>
          <w:sz w:val="36"/>
          <w:szCs w:val="36"/>
          <w:rtl/>
        </w:rPr>
        <w:t>القول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 w:rsidR="00894D0D">
        <w:rPr>
          <w:rFonts w:ascii="Traditional Arabic" w:cs="Traditional Arabic" w:hint="eastAsia"/>
          <w:sz w:val="36"/>
          <w:szCs w:val="36"/>
          <w:rtl/>
        </w:rPr>
        <w:t>الأول</w:t>
      </w:r>
      <w:r w:rsidR="00894D0D"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عدم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وجوب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الكفارة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في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اليمين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الغموس</w:t>
      </w:r>
      <w:r w:rsidR="00894D0D">
        <w:rPr>
          <w:rFonts w:ascii="Traditional Arabic" w:cs="Traditional Arabic"/>
          <w:sz w:val="36"/>
          <w:szCs w:val="36"/>
          <w:rtl/>
        </w:rPr>
        <w:t xml:space="preserve"> : </w:t>
      </w:r>
      <w:r w:rsidR="00894D0D">
        <w:rPr>
          <w:rFonts w:ascii="Traditional Arabic" w:cs="Traditional Arabic" w:hint="eastAsia"/>
          <w:sz w:val="36"/>
          <w:szCs w:val="36"/>
          <w:rtl/>
        </w:rPr>
        <w:t>وإليه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ذهب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جمهور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الفقهاء</w:t>
      </w:r>
      <w:r w:rsidR="00894D0D">
        <w:rPr>
          <w:rFonts w:ascii="Traditional Arabic" w:cs="Traditional Arabic"/>
          <w:sz w:val="36"/>
          <w:szCs w:val="36"/>
          <w:rtl/>
        </w:rPr>
        <w:t xml:space="preserve"> : </w:t>
      </w:r>
      <w:r w:rsidR="00894D0D">
        <w:rPr>
          <w:rFonts w:ascii="Traditional Arabic" w:cs="Traditional Arabic" w:hint="eastAsia"/>
          <w:sz w:val="36"/>
          <w:szCs w:val="36"/>
          <w:rtl/>
        </w:rPr>
        <w:t>الحنفية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والمالكية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والحنابلة</w:t>
      </w:r>
      <w:r w:rsidR="00894D0D"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Theme="minorHAnsi" w:hAnsiTheme="minorHAnsi" w:cs="Traditional Arabic"/>
          <w:sz w:val="36"/>
          <w:szCs w:val="36"/>
        </w:rPr>
        <w:t xml:space="preserve"> -</w:t>
      </w:r>
      <w:r w:rsidR="00894D0D">
        <w:rPr>
          <w:rFonts w:ascii="Traditional Arabic" w:cs="Traditional Arabic" w:hint="eastAsia"/>
          <w:sz w:val="36"/>
          <w:szCs w:val="36"/>
          <w:rtl/>
        </w:rPr>
        <w:t>القول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 w:rsidR="00894D0D">
        <w:rPr>
          <w:rFonts w:ascii="Traditional Arabic" w:cs="Traditional Arabic" w:hint="eastAsia"/>
          <w:sz w:val="36"/>
          <w:szCs w:val="36"/>
          <w:rtl/>
        </w:rPr>
        <w:t>الثاني</w:t>
      </w:r>
      <w:r w:rsidR="00894D0D"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وجوب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الكفارة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في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اليمين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الغموس</w:t>
      </w:r>
      <w:r w:rsidR="00894D0D">
        <w:rPr>
          <w:rFonts w:ascii="Traditional Arabic" w:cs="Traditional Arabic"/>
          <w:sz w:val="36"/>
          <w:szCs w:val="36"/>
          <w:rtl/>
        </w:rPr>
        <w:t xml:space="preserve"> : </w:t>
      </w:r>
      <w:r w:rsidR="00894D0D">
        <w:rPr>
          <w:rFonts w:ascii="Traditional Arabic" w:cs="Traditional Arabic" w:hint="eastAsia"/>
          <w:sz w:val="36"/>
          <w:szCs w:val="36"/>
          <w:rtl/>
        </w:rPr>
        <w:t>وإليه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ذهب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الشافعية</w:t>
      </w:r>
      <w:r w:rsidR="00894D0D">
        <w:rPr>
          <w:rFonts w:ascii="Traditional Arabic" w:cs="Traditional Arabic"/>
          <w:sz w:val="36"/>
          <w:szCs w:val="36"/>
          <w:rtl/>
        </w:rPr>
        <w:t xml:space="preserve"> ....</w:t>
      </w:r>
      <w:r w:rsidR="00894D0D">
        <w:rPr>
          <w:rFonts w:ascii="Traditional Arabic" w:cs="Traditional Arabic" w:hint="eastAsia"/>
          <w:sz w:val="36"/>
          <w:szCs w:val="36"/>
          <w:rtl/>
        </w:rPr>
        <w:t>وقد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استدل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كل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فريق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بأدلة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تؤيد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ما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ذهب</w:t>
      </w:r>
      <w:r w:rsidR="00894D0D">
        <w:rPr>
          <w:rFonts w:ascii="Traditional Arabic" w:cs="Traditional Arabic"/>
          <w:sz w:val="36"/>
          <w:szCs w:val="36"/>
          <w:rtl/>
        </w:rPr>
        <w:t xml:space="preserve"> </w:t>
      </w:r>
      <w:r w:rsidR="00894D0D">
        <w:rPr>
          <w:rFonts w:ascii="Traditional Arabic" w:cs="Traditional Arabic" w:hint="eastAsia"/>
          <w:sz w:val="36"/>
          <w:szCs w:val="36"/>
          <w:rtl/>
        </w:rPr>
        <w:t>إليه</w:t>
      </w:r>
      <w:r w:rsidR="00894D0D">
        <w:rPr>
          <w:rFonts w:ascii="Traditional Arabic" w:cs="Traditional Arabic"/>
          <w:sz w:val="36"/>
          <w:szCs w:val="36"/>
          <w:rtl/>
        </w:rPr>
        <w:t xml:space="preserve"> " </w:t>
      </w:r>
      <w:r w:rsidR="00894D0D">
        <w:rPr>
          <w:rFonts w:ascii="Traditional Arabic" w:cs="Traditional Arabic" w:hint="eastAsia"/>
          <w:sz w:val="36"/>
          <w:szCs w:val="36"/>
          <w:rtl/>
        </w:rPr>
        <w:t>انتهى</w:t>
      </w:r>
      <w:r w:rsidR="00894D0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894D0D" w:rsidRDefault="00894D0D" w:rsidP="00AD33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بوجوب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الغموس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النصوح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ولذلك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مجموع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الفتاوى</w:t>
      </w:r>
      <w:r>
        <w:rPr>
          <w:rFonts w:ascii="Traditional Arabic" w:cs="Traditional Arabic"/>
          <w:sz w:val="36"/>
          <w:szCs w:val="36"/>
          <w:rtl/>
        </w:rPr>
        <w:t xml:space="preserve">" 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الغموس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واتفقوا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بمجرد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الكفارة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94D0D" w:rsidRPr="00AD331D" w:rsidRDefault="00894D0D" w:rsidP="00AD331D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ثالثا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 w:rsidR="00AD331D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الغموس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تكفرها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أسرفوا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تقنطوا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الرحيم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>/53</w:t>
      </w:r>
    </w:p>
    <w:p w:rsidR="00351EDC" w:rsidRPr="006B5162" w:rsidRDefault="00894D0D" w:rsidP="006B5162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B5162">
        <w:rPr>
          <w:rFonts w:ascii="Traditional Arabic" w:cs="Traditional Arabic" w:hint="eastAsia"/>
          <w:sz w:val="36"/>
          <w:szCs w:val="36"/>
          <w:rtl/>
        </w:rPr>
        <w:t>وجوا</w:t>
      </w:r>
      <w:r w:rsidR="006B5162">
        <w:rPr>
          <w:rFonts w:ascii="Traditional Arabic" w:cs="Traditional Arabic" w:hint="cs"/>
          <w:sz w:val="36"/>
          <w:szCs w:val="36"/>
          <w:rtl/>
        </w:rPr>
        <w:t>ب</w:t>
      </w:r>
      <w:bookmarkEnd w:id="0"/>
    </w:p>
    <w:sectPr w:rsidR="00351EDC" w:rsidRPr="006B5162" w:rsidSect="00894D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37C44"/>
    <w:rsid w:val="00351EDC"/>
    <w:rsid w:val="003D1E22"/>
    <w:rsid w:val="006B5162"/>
    <w:rsid w:val="00894D0D"/>
    <w:rsid w:val="00A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6B7C4"/>
  <w15:docId w15:val="{1BF01A84-B9F5-4919-87E4-55FEA241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51ED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اليمين الغموس</vt:lpstr>
    </vt:vector>
  </TitlesOfParts>
  <Company>asrg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اليمين الغموس</dc:title>
  <dc:subject/>
  <dc:creator>mohamed.mohamed</dc:creator>
  <cp:keywords/>
  <dc:description/>
  <cp:lastModifiedBy>Islam Abuelhija</cp:lastModifiedBy>
  <cp:revision>7</cp:revision>
  <dcterms:created xsi:type="dcterms:W3CDTF">2014-09-01T22:38:00Z</dcterms:created>
  <dcterms:modified xsi:type="dcterms:W3CDTF">2017-02-19T09:28:00Z</dcterms:modified>
</cp:coreProperties>
</file>