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B3BA" w14:textId="22799EC2" w:rsidR="006B7585" w:rsidRDefault="006B7585" w:rsidP="006B758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6B7585">
        <w:rPr>
          <w:rFonts w:ascii="Nirmala UI" w:hAnsi="Nirmala UI" w:cs="Nirmala UI" w:hint="cs"/>
          <w:sz w:val="36"/>
          <w:szCs w:val="36"/>
          <w:cs/>
          <w:lang w:bidi="bn-IN"/>
        </w:rPr>
        <w:t>উত্তম</w:t>
      </w:r>
      <w:r w:rsidRPr="006B7585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6B7585">
        <w:rPr>
          <w:rFonts w:ascii="Nirmala UI" w:hAnsi="Nirmala UI" w:cs="Nirmala UI" w:hint="cs"/>
          <w:sz w:val="36"/>
          <w:szCs w:val="36"/>
          <w:cs/>
          <w:lang w:bidi="bn-IN"/>
        </w:rPr>
        <w:t>আখলাক</w:t>
      </w:r>
      <w:r w:rsidRPr="006B7585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6B7585">
        <w:rPr>
          <w:rFonts w:ascii="Nirmala UI" w:hAnsi="Nirmala UI" w:cs="Nirmala UI" w:hint="cs"/>
          <w:sz w:val="36"/>
          <w:szCs w:val="36"/>
          <w:cs/>
          <w:lang w:bidi="bn-IN"/>
        </w:rPr>
        <w:t>সিরিজ</w:t>
      </w:r>
      <w:r w:rsidRPr="006B7585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6B7585">
        <w:rPr>
          <w:rFonts w:ascii="Traditional Arabic" w:hAnsi="Traditional Arabic" w:cs="Traditional Arabic" w:hint="cs"/>
          <w:sz w:val="36"/>
          <w:szCs w:val="36"/>
          <w:cs/>
          <w:lang w:bidi="bn-IN"/>
        </w:rPr>
        <w:t>–</w:t>
      </w:r>
      <w:r w:rsidRPr="006B7585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6B7585">
        <w:rPr>
          <w:rFonts w:ascii="Traditional Arabic" w:hAnsi="Traditional Arabic" w:cs="Traditional Arabic" w:hint="cs"/>
          <w:sz w:val="36"/>
          <w:szCs w:val="36"/>
          <w:cs/>
          <w:lang w:bidi="bn-IN"/>
        </w:rPr>
        <w:t>“</w:t>
      </w:r>
      <w:r w:rsidRPr="006B7585">
        <w:rPr>
          <w:rFonts w:ascii="Nirmala UI" w:hAnsi="Nirmala UI" w:cs="Nirmala UI" w:hint="cs"/>
          <w:sz w:val="36"/>
          <w:szCs w:val="36"/>
          <w:cs/>
          <w:lang w:bidi="bn-IN"/>
        </w:rPr>
        <w:t>সতর্কতা</w:t>
      </w:r>
      <w:r w:rsidRPr="006B7585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6B7585">
        <w:rPr>
          <w:rFonts w:ascii="Nirmala UI" w:hAnsi="Nirmala UI" w:cs="Nirmala UI" w:hint="cs"/>
          <w:sz w:val="36"/>
          <w:szCs w:val="36"/>
          <w:cs/>
          <w:lang w:bidi="bn-IN"/>
        </w:rPr>
        <w:t>ও</w:t>
      </w:r>
      <w:r w:rsidRPr="006B7585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6B7585">
        <w:rPr>
          <w:rFonts w:ascii="Nirmala UI" w:hAnsi="Nirmala UI" w:cs="Nirmala UI" w:hint="cs"/>
          <w:sz w:val="36"/>
          <w:szCs w:val="36"/>
          <w:cs/>
          <w:lang w:bidi="bn-IN"/>
        </w:rPr>
        <w:t>যাচাই</w:t>
      </w:r>
      <w:r w:rsidRPr="006B7585">
        <w:rPr>
          <w:rFonts w:ascii="Traditional Arabic" w:hAnsi="Traditional Arabic" w:cs="Traditional Arabic"/>
          <w:sz w:val="36"/>
          <w:szCs w:val="36"/>
          <w:cs/>
          <w:lang w:bidi="bn-IN"/>
        </w:rPr>
        <w:t>-</w:t>
      </w:r>
      <w:r w:rsidRPr="006B7585">
        <w:rPr>
          <w:rFonts w:ascii="Nirmala UI" w:hAnsi="Nirmala UI" w:cs="Nirmala UI" w:hint="cs"/>
          <w:sz w:val="36"/>
          <w:szCs w:val="36"/>
          <w:cs/>
          <w:lang w:bidi="bn-IN"/>
        </w:rPr>
        <w:t>বাছাই</w:t>
      </w:r>
      <w:r w:rsidRPr="006B7585">
        <w:rPr>
          <w:rFonts w:ascii="Traditional Arabic" w:hAnsi="Traditional Arabic" w:cs="Traditional Arabic"/>
          <w:sz w:val="36"/>
          <w:szCs w:val="36"/>
          <w:cs/>
          <w:lang w:bidi="hi-IN"/>
        </w:rPr>
        <w:t>”</w:t>
      </w:r>
      <w:r w:rsidRPr="006B7585">
        <w:rPr>
          <w:rFonts w:ascii="Nirmala UI" w:hAnsi="Nirmala UI" w:cs="Nirmala UI" w:hint="cs"/>
          <w:sz w:val="36"/>
          <w:szCs w:val="36"/>
          <w:cs/>
          <w:lang w:bidi="hi-IN"/>
        </w:rPr>
        <w:t>।</w:t>
      </w:r>
      <w:r w:rsidRPr="006B7585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 </w:t>
      </w:r>
      <w:r w:rsidRPr="006B7585">
        <w:rPr>
          <w:rFonts w:ascii="Traditional Arabic" w:hAnsi="Traditional Arabic" w:cs="Traditional Arabic"/>
          <w:sz w:val="36"/>
          <w:szCs w:val="36"/>
        </w:rPr>
        <w:br/>
      </w:r>
    </w:p>
    <w:p w14:paraId="29D693A4" w14:textId="5B589883" w:rsidR="00911C0E" w:rsidRDefault="00911C0E" w:rsidP="00D1104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D1104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D11046" w:rsidRPr="00D110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1046">
        <w:rPr>
          <w:rFonts w:ascii="Traditional Arabic" w:hAnsi="Traditional Arabic" w:cs="Traditional Arabic"/>
          <w:sz w:val="36"/>
          <w:szCs w:val="36"/>
          <w:rtl/>
        </w:rPr>
        <w:t>التثبت</w:t>
      </w:r>
    </w:p>
    <w:p w14:paraId="27EAC6A2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4D2F656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التثبت</w:t>
      </w:r>
    </w:p>
    <w:p w14:paraId="5C413801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D11046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4D0E5475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يا أيها الذين آمنوا إن جاءكم فاسق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بنبإ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فتبينوا أن تصيبوا قوما بجه</w:t>
      </w:r>
      <w:r w:rsidR="00D11046">
        <w:rPr>
          <w:rFonts w:ascii="Traditional Arabic" w:hAnsi="Traditional Arabic" w:cs="Traditional Arabic"/>
          <w:sz w:val="36"/>
          <w:szCs w:val="36"/>
          <w:rtl/>
        </w:rPr>
        <w:t>الة فتصبحوا على ما فعلتم نادمين</w:t>
      </w:r>
    </w:p>
    <w:p w14:paraId="39CADB08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الحجرات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6 )</w:t>
      </w:r>
      <w:proofErr w:type="gramEnd"/>
    </w:p>
    <w:p w14:paraId="3641832B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D11046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0A51EA7B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كفى بالمرء كذبا أن يحدث بكل ما سمع</w:t>
      </w:r>
    </w:p>
    <w:p w14:paraId="039D2CB5" w14:textId="77777777" w:rsidR="009D7FD4" w:rsidRDefault="00911C0E" w:rsidP="00D1104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أورده مسلم في مقدمة الصحيح وصححه الألباني</w:t>
      </w:r>
    </w:p>
    <w:p w14:paraId="3FC8BBD3" w14:textId="77777777" w:rsidR="0036308C" w:rsidRDefault="0036308C" w:rsidP="00D1104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12DA5D9B" w14:textId="77777777" w:rsidR="0036308C" w:rsidRPr="0036308C" w:rsidRDefault="0036308C" w:rsidP="0036308C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উত্তম আখলাক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সিরিজ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–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“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সতর্কতা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ও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যাচাই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>-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বাছাই</w:t>
      </w:r>
      <w:r>
        <w:rPr>
          <w:rFonts w:ascii="Traditional Arabic" w:hAnsi="Traditional Arabic" w:cs="Nirmala UI" w:hint="cs"/>
          <w:sz w:val="44"/>
          <w:szCs w:val="44"/>
          <w:cs/>
          <w:lang w:bidi="hi-IN"/>
        </w:rPr>
        <w:t>”।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 </w:t>
      </w:r>
      <w:r>
        <w:rPr>
          <w:rFonts w:ascii="Traditional Arabic" w:hAnsi="Traditional Arabic" w:cs="Traditional Arabic"/>
          <w:sz w:val="44"/>
          <w:szCs w:val="44"/>
          <w:lang w:bidi="bn-IN"/>
        </w:rPr>
        <w:br/>
      </w:r>
    </w:p>
    <w:p w14:paraId="5E45AF84" w14:textId="77777777" w:rsidR="0036308C" w:rsidRPr="0036308C" w:rsidRDefault="0036308C" w:rsidP="0036308C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44"/>
          <w:szCs w:val="44"/>
          <w:lang w:bidi="bn-IN"/>
        </w:rPr>
      </w:pP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ইসলামী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শরিয়ত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 যে সমস্ত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প্রশংসনীয়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নৈতিক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গুণের প্রতি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উৎসাহ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 দিয়েছে এবং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পালনের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আদেশ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দিয়েছে</w:t>
      </w:r>
      <w:r>
        <w:rPr>
          <w:rFonts w:ascii="Traditional Arabic" w:hAnsi="Traditional Arabic" w:cs="Nirmala UI"/>
          <w:sz w:val="44"/>
          <w:szCs w:val="44"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তা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র অন্যতম হলো</w:t>
      </w:r>
      <w:r>
        <w:rPr>
          <w:rFonts w:ascii="Traditional Arabic" w:hAnsi="Traditional Arabic" w:cs="Traditional Arabic"/>
          <w:sz w:val="36"/>
          <w:szCs w:val="36"/>
          <w:lang w:bidi="bn-IN"/>
        </w:rPr>
        <w:t xml:space="preserve">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“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সতর্কতা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ও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যাচাই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>-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বাছাই</w:t>
      </w:r>
      <w:r>
        <w:rPr>
          <w:rFonts w:ascii="Traditional Arabic" w:hAnsi="Traditional Arabic" w:cs="Nirmala UI" w:hint="cs"/>
          <w:sz w:val="44"/>
          <w:szCs w:val="44"/>
          <w:cs/>
          <w:lang w:bidi="hi-IN"/>
        </w:rPr>
        <w:t>”।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 </w:t>
      </w:r>
    </w:p>
    <w:p w14:paraId="326B3B3D" w14:textId="77777777" w:rsidR="0036308C" w:rsidRPr="0036308C" w:rsidRDefault="0036308C" w:rsidP="0036308C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56CC564B" w14:textId="77777777" w:rsidR="0036308C" w:rsidRDefault="0036308C" w:rsidP="0036308C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36"/>
          <w:szCs w:val="36"/>
          <w:cs/>
          <w:lang w:bidi="bn-IN"/>
        </w:rPr>
      </w:pP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তা</w:t>
      </w:r>
      <w:r w:rsidRPr="0036308C">
        <w:rPr>
          <w:rFonts w:ascii="Traditional Arabic" w:hAnsi="Traditional Arabic" w:cs="Traditional Arabic"/>
          <w:sz w:val="36"/>
          <w:szCs w:val="36"/>
        </w:rPr>
        <w:t>'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আলা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বলেন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 </w:t>
      </w:r>
    </w:p>
    <w:p w14:paraId="3677CD01" w14:textId="77777777" w:rsidR="0036308C" w:rsidRPr="0036308C" w:rsidRDefault="0036308C" w:rsidP="0036308C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36308C">
        <w:rPr>
          <w:rFonts w:ascii="Traditional Arabic" w:hAnsi="Traditional Arabic" w:cs="Traditional Arabic" w:hint="eastAsia"/>
          <w:sz w:val="36"/>
          <w:szCs w:val="36"/>
        </w:rPr>
        <w:t>“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হে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ঈমানদারগণ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!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যদি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কোন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পাপাচারী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ব্যক্তি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তোমাদের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কাছে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কোনো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সংবাদ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নিয়ে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আসে</w:t>
      </w:r>
      <w:r w:rsidRPr="0036308C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তবে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তোমরা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তা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যাচাই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করে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দেখো</w:t>
      </w:r>
      <w:r w:rsidRPr="0036308C">
        <w:rPr>
          <w:rFonts w:ascii="Traditional Arabic" w:hAnsi="Traditional Arabic" w:cs="Nirmala UI" w:hint="eastAsia"/>
          <w:sz w:val="36"/>
          <w:szCs w:val="36"/>
          <w:cs/>
          <w:lang w:bidi="bn-IN"/>
        </w:rPr>
        <w:t>—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যেন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অজ্ঞতাবশত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তোমরা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কোনো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গোষ্ঠীকে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ক্ষতি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না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করে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বসো</w:t>
      </w:r>
      <w:r w:rsidRPr="0036308C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তারপর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যা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করেছো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সে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নিয়ে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অনুতপ্ত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হও।</w:t>
      </w:r>
      <w:r w:rsidRPr="0036308C">
        <w:rPr>
          <w:rFonts w:ascii="Traditional Arabic" w:hAnsi="Traditional Arabic" w:cs="Nirmala UI" w:hint="eastAsia"/>
          <w:sz w:val="36"/>
          <w:szCs w:val="36"/>
          <w:cs/>
          <w:lang w:bidi="bn-IN"/>
        </w:rPr>
        <w:t>”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 </w:t>
      </w:r>
    </w:p>
    <w:p w14:paraId="2D006F50" w14:textId="77777777" w:rsidR="0036308C" w:rsidRPr="0036308C" w:rsidRDefault="0036308C" w:rsidP="0036308C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36308C">
        <w:rPr>
          <w:rFonts w:ascii="Traditional Arabic" w:hAnsi="Traditional Arabic" w:cs="Traditional Arabic" w:hint="eastAsia"/>
          <w:sz w:val="36"/>
          <w:szCs w:val="36"/>
        </w:rPr>
        <w:t>—</w:t>
      </w:r>
      <w:r w:rsidRPr="0036308C">
        <w:rPr>
          <w:rFonts w:ascii="Traditional Arabic" w:hAnsi="Traditional Arabic" w:cs="Traditional Arabic"/>
          <w:sz w:val="36"/>
          <w:szCs w:val="36"/>
        </w:rPr>
        <w:t xml:space="preserve"> (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সূরা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হুজুরাত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৬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>)</w:t>
      </w:r>
    </w:p>
    <w:p w14:paraId="04BB22A3" w14:textId="77777777" w:rsidR="0036308C" w:rsidRPr="0036308C" w:rsidRDefault="0036308C" w:rsidP="0036308C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1A2C8123" w14:textId="561EABFD" w:rsidR="0036308C" w:rsidRPr="0036308C" w:rsidRDefault="0036308C" w:rsidP="007F0FE7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রাসূলুল্লাহ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বলেছেন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 </w:t>
      </w:r>
    </w:p>
    <w:p w14:paraId="3862DEDA" w14:textId="77777777" w:rsidR="0036308C" w:rsidRPr="0036308C" w:rsidRDefault="0036308C" w:rsidP="0036308C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36308C">
        <w:rPr>
          <w:rFonts w:ascii="Traditional Arabic" w:hAnsi="Traditional Arabic" w:cs="Traditional Arabic" w:hint="eastAsia"/>
          <w:sz w:val="36"/>
          <w:szCs w:val="36"/>
        </w:rPr>
        <w:t>“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একজন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ব্যক্তির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মিথ্যাবাদী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হওয়ার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জন্য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এতটুকুই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যথেষ্ট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যে</w:t>
      </w:r>
      <w:r w:rsidRPr="0036308C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সে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যা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কিছু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শুনে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বলে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বেড়ায়।</w:t>
      </w:r>
      <w:r w:rsidRPr="0036308C">
        <w:rPr>
          <w:rFonts w:ascii="Traditional Arabic" w:hAnsi="Traditional Arabic" w:cs="Nirmala UI" w:hint="eastAsia"/>
          <w:sz w:val="36"/>
          <w:szCs w:val="36"/>
          <w:cs/>
          <w:lang w:bidi="bn-IN"/>
        </w:rPr>
        <w:t>”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 </w:t>
      </w:r>
    </w:p>
    <w:p w14:paraId="440C2172" w14:textId="77777777" w:rsidR="0036308C" w:rsidRDefault="0036308C" w:rsidP="0036308C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lang w:bidi="bn-IN"/>
        </w:rPr>
      </w:pPr>
      <w:r w:rsidRPr="0036308C">
        <w:rPr>
          <w:rFonts w:ascii="Traditional Arabic" w:hAnsi="Traditional Arabic" w:cs="Traditional Arabic" w:hint="eastAsia"/>
          <w:sz w:val="36"/>
          <w:szCs w:val="36"/>
        </w:rPr>
        <w:t>—</w:t>
      </w:r>
      <w:r w:rsidRPr="0036308C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সহিহ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মুসলিমের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মুখবন্ধে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বর্ণিত</w:t>
      </w:r>
      <w:r w:rsidRPr="0036308C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এবং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শাইখ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আলবানী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সহীহ</w:t>
      </w:r>
      <w:r w:rsidRPr="0036308C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6308C">
        <w:rPr>
          <w:rFonts w:ascii="Traditional Arabic" w:hAnsi="Traditional Arabic" w:cs="Nirmala UI" w:hint="cs"/>
          <w:sz w:val="36"/>
          <w:szCs w:val="36"/>
          <w:cs/>
          <w:lang w:bidi="bn-IN"/>
        </w:rPr>
        <w:t>বলেছেন</w:t>
      </w:r>
    </w:p>
    <w:p w14:paraId="206BDA7F" w14:textId="77777777" w:rsidR="0036308C" w:rsidRPr="00D11046" w:rsidRDefault="0036308C" w:rsidP="0036308C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sectPr w:rsidR="0036308C" w:rsidRPr="00D11046" w:rsidSect="0011250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36308C"/>
    <w:rsid w:val="003D1E22"/>
    <w:rsid w:val="003D6E9B"/>
    <w:rsid w:val="00484FC1"/>
    <w:rsid w:val="004C1634"/>
    <w:rsid w:val="00510CC0"/>
    <w:rsid w:val="0056480C"/>
    <w:rsid w:val="005F5F58"/>
    <w:rsid w:val="00641A05"/>
    <w:rsid w:val="00676301"/>
    <w:rsid w:val="006B7585"/>
    <w:rsid w:val="00723436"/>
    <w:rsid w:val="00763435"/>
    <w:rsid w:val="007F0FE7"/>
    <w:rsid w:val="00832C97"/>
    <w:rsid w:val="00841F39"/>
    <w:rsid w:val="0089723D"/>
    <w:rsid w:val="00911C0E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C203BA"/>
    <w:rsid w:val="00C378E3"/>
    <w:rsid w:val="00C557E2"/>
    <w:rsid w:val="00CC322F"/>
    <w:rsid w:val="00D11046"/>
    <w:rsid w:val="00D60D0F"/>
    <w:rsid w:val="00E83FDB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36F450"/>
  <w15:docId w15:val="{AF1F7111-7C6F-4EFE-BB7A-72AF0F6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41A05"/>
  </w:style>
  <w:style w:type="character" w:customStyle="1" w:styleId="color-ae8422">
    <w:name w:val="color-ae8422"/>
    <w:basedOn w:val="DefaultParagraphFont"/>
    <w:rsid w:val="00641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2015-02-05T20:03:00Z</dcterms:created>
  <dcterms:modified xsi:type="dcterms:W3CDTF">2025-10-16T07:44:00Z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9b2f5c22-da70-4f93-9cc6-d4aad1283251</vt:lpwstr>
  </property>
</Properties>
</file>