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7D5D0" w14:textId="77777777" w:rsidR="00111B40" w:rsidRPr="00111B40" w:rsidRDefault="00111B40" w:rsidP="00111B40">
      <w:pPr>
        <w:autoSpaceDE w:val="0"/>
        <w:autoSpaceDN w:val="0"/>
        <w:adjustRightInd w:val="0"/>
        <w:rPr>
          <w:rFonts w:ascii="Traditional Arabic" w:hAnsi="Traditional Arabic" w:cs="Traditional Arabic"/>
          <w:b/>
          <w:bCs/>
          <w:sz w:val="36"/>
          <w:szCs w:val="36"/>
        </w:rPr>
      </w:pPr>
      <w:r w:rsidRPr="00111B40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സ്വഭാവ</w:t>
      </w:r>
      <w:r w:rsidRPr="00111B40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</w:t>
      </w:r>
      <w:r w:rsidRPr="00111B40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സീരീസ്</w:t>
      </w:r>
      <w:r w:rsidRPr="00111B40">
        <w:rPr>
          <w:rFonts w:ascii="Traditional Arabic" w:hAnsi="Traditional Arabic" w:cs="Traditional Arabic"/>
          <w:b/>
          <w:bCs/>
          <w:sz w:val="36"/>
          <w:szCs w:val="36"/>
          <w:cs/>
          <w:lang w:bidi="ml-IN"/>
        </w:rPr>
        <w:t xml:space="preserve"> -  </w:t>
      </w:r>
      <w:r w:rsidRPr="00111B40">
        <w:rPr>
          <w:rFonts w:ascii="Nirmala UI" w:hAnsi="Nirmala UI" w:cs="Nirmala UI" w:hint="cs"/>
          <w:b/>
          <w:bCs/>
          <w:sz w:val="36"/>
          <w:szCs w:val="36"/>
          <w:cs/>
          <w:lang w:bidi="ml-IN"/>
        </w:rPr>
        <w:t>സത്യസന്ധത</w:t>
      </w:r>
    </w:p>
    <w:p w14:paraId="5BF548BB" w14:textId="77777777" w:rsidR="004122E9" w:rsidRDefault="004122E9" w:rsidP="00CD19FB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D19FB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CD19FB"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14:paraId="6BF41BC7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0EDA8613" w14:textId="77777777" w:rsidR="004122E9" w:rsidRDefault="004122E9" w:rsidP="004122E9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الصدق</w:t>
      </w:r>
    </w:p>
    <w:p w14:paraId="70564637" w14:textId="77777777" w:rsidR="009B1D43" w:rsidRDefault="009B1D43" w:rsidP="009B1D43">
      <w:pPr>
        <w:spacing w:line="360" w:lineRule="auto"/>
        <w:jc w:val="right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സ്വഭാവ സീരീസ് 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-</w:t>
      </w: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സത്യസന്ധത</w:t>
      </w:r>
    </w:p>
    <w:p w14:paraId="38D0987A" w14:textId="77777777" w:rsidR="00A74728" w:rsidRDefault="009B1D43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ഇസ്ലാമിക നിയമം പ്രോത്സാഹിപ്പിക്കുകയും കൽപ്പിക്കുകയും ചെയ്യുന്ന ഉൽകൃഷ്ഠമായൊരു സ്വഭാവ ഗുണമാകുന്നു </w:t>
      </w:r>
    </w:p>
    <w:p w14:paraId="35765AC2" w14:textId="77777777" w:rsidR="009B1D43" w:rsidRDefault="009B1D43" w:rsidP="00A74728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>വിശ്വസ്തത</w:t>
      </w:r>
    </w:p>
    <w:p w14:paraId="1884A789" w14:textId="77777777" w:rsidR="009B1D43" w:rsidRDefault="009B1D43" w:rsidP="009B1D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41BEB31" w14:textId="77777777" w:rsidR="009B1D43" w:rsidRDefault="009B1D43" w:rsidP="009B1D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اتقوا الله وكونوا مع الصادقين</w:t>
      </w:r>
    </w:p>
    <w:p w14:paraId="2E1A8806" w14:textId="77777777" w:rsidR="009B1D43" w:rsidRDefault="009B1D43" w:rsidP="009B1D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(سورة التوبة : 119)</w:t>
      </w:r>
    </w:p>
    <w:p w14:paraId="4AE1241F" w14:textId="77777777" w:rsidR="009B1D43" w:rsidRDefault="009B1D43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</w:p>
    <w:p w14:paraId="3A33A037" w14:textId="77777777" w:rsidR="009B1D43" w:rsidRDefault="009B1D43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/>
          <w:b/>
          <w:bCs/>
          <w:sz w:val="40"/>
          <w:szCs w:val="40"/>
          <w:cs/>
          <w:lang w:bidi="ml-IN"/>
        </w:rPr>
        <w:t>സർവ്വശക്തനായ അല്ലാഹു പറഞ്ഞു</w:t>
      </w:r>
      <w:r>
        <w:rPr>
          <w:rFonts w:ascii="Manjari" w:hAnsi="Manjari"/>
          <w:b/>
          <w:bCs/>
          <w:sz w:val="40"/>
          <w:szCs w:val="40"/>
          <w:rtl/>
        </w:rPr>
        <w:t>:</w:t>
      </w:r>
    </w:p>
    <w:p w14:paraId="6996277C" w14:textId="77777777" w:rsidR="00D84299" w:rsidRPr="009B1D43" w:rsidRDefault="00D84299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4075A127" w14:textId="77777777" w:rsidR="00D84299" w:rsidRPr="009B1D43" w:rsidRDefault="00D84299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വിശ്വസിച്ചവരേ</w:t>
      </w:r>
      <w:r w:rsidRPr="009B1D43">
        <w:rPr>
          <w:rFonts w:ascii="Manjari" w:hAnsi="Manjari" w:cs="Manjari"/>
          <w:b/>
          <w:bCs/>
          <w:sz w:val="40"/>
          <w:szCs w:val="40"/>
          <w:lang w:bidi="ml-IN"/>
        </w:rPr>
        <w:t xml:space="preserve">,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അല്ലാഹുവിനെ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ഭയപ്പെടുകയും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സത്യസന്ധരോടൊപ്പം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ആയിരിക്കുകയും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ചെയ്യുക</w:t>
      </w:r>
      <w:r w:rsidRPr="009B1D43">
        <w:rPr>
          <w:rFonts w:ascii="Manjari" w:hAnsi="Manjari" w:cs="Manjari"/>
          <w:b/>
          <w:bCs/>
          <w:sz w:val="40"/>
          <w:szCs w:val="40"/>
          <w:rtl/>
        </w:rPr>
        <w:t>.</w:t>
      </w:r>
    </w:p>
    <w:p w14:paraId="7BB43E97" w14:textId="77777777" w:rsidR="00D84299" w:rsidRDefault="009B1D43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 (</w:t>
      </w:r>
      <w:r w:rsidR="00D84299"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സൂറത്ത്</w:t>
      </w:r>
      <w:r w:rsidR="00D84299"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D84299"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തൗബ</w:t>
      </w:r>
      <w:r w:rsidR="00D84299"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: </w:t>
      </w:r>
      <w:r w:rsidR="00D84299" w:rsidRPr="009B1D43">
        <w:rPr>
          <w:rFonts w:ascii="Manjari" w:hAnsi="Manjari" w:cs="Manjari"/>
          <w:b/>
          <w:bCs/>
          <w:sz w:val="40"/>
          <w:szCs w:val="40"/>
          <w:lang w:bidi="ml-IN"/>
        </w:rPr>
        <w:t>119</w:t>
      </w:r>
      <w:r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)</w:t>
      </w:r>
    </w:p>
    <w:p w14:paraId="4CD21680" w14:textId="77777777" w:rsidR="009B1D43" w:rsidRDefault="009B1D43" w:rsidP="009B1D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2B5F8DA" w14:textId="77777777" w:rsidR="009B1D43" w:rsidRDefault="009B1D43" w:rsidP="009B1D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عليكم بالصدق . فإن الصدق يهدي إلى البر . وإن البر يهدي إلى الجنة . وما يزال الرجل يصدق ويتحرى الصدق حتى يكتب عند الله صديقا .</w:t>
      </w:r>
    </w:p>
    <w:p w14:paraId="0A18A08F" w14:textId="77777777" w:rsidR="009B1D43" w:rsidRPr="009B1D43" w:rsidRDefault="009B1D43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</w:rPr>
      </w:pPr>
    </w:p>
    <w:p w14:paraId="6DD44DDC" w14:textId="77777777" w:rsidR="00D84299" w:rsidRPr="009B1D43" w:rsidRDefault="00D84299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അല്ലാഹുവിന്റെ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ദൂതൻ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(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)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പറഞ്ഞു</w:t>
      </w:r>
      <w:r w:rsidRPr="009B1D43">
        <w:rPr>
          <w:rFonts w:ascii="Manjari" w:hAnsi="Manjari" w:cs="Manjari"/>
          <w:b/>
          <w:bCs/>
          <w:sz w:val="40"/>
          <w:szCs w:val="40"/>
          <w:rtl/>
        </w:rPr>
        <w:t>:</w:t>
      </w:r>
    </w:p>
    <w:p w14:paraId="04BBEECE" w14:textId="77777777" w:rsidR="00D84299" w:rsidRPr="009B1D43" w:rsidRDefault="00D84299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38C50E4F" w14:textId="77777777" w:rsidR="00D84299" w:rsidRPr="009B1D43" w:rsidRDefault="00D84299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lang w:bidi="ml-IN"/>
        </w:rPr>
      </w:pP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സത്യസന്ധത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പാലിക്കുക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.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കാരണം</w:t>
      </w:r>
      <w:r w:rsidRPr="009B1D43">
        <w:rPr>
          <w:rFonts w:ascii="Manjari" w:hAnsi="Manjari" w:cs="Manjari"/>
          <w:b/>
          <w:bCs/>
          <w:sz w:val="40"/>
          <w:szCs w:val="40"/>
          <w:lang w:bidi="ml-IN"/>
        </w:rPr>
        <w:t xml:space="preserve">,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സത്യസന്ധത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നീതിയിലേക്കും</w:t>
      </w:r>
      <w:r w:rsidRPr="009B1D43">
        <w:rPr>
          <w:rFonts w:ascii="Manjari" w:hAnsi="Manjari" w:cs="Manjari"/>
          <w:b/>
          <w:bCs/>
          <w:sz w:val="40"/>
          <w:szCs w:val="40"/>
          <w:lang w:bidi="ml-IN"/>
        </w:rPr>
        <w:t xml:space="preserve">,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നീതി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സ്വർഗത്തിലേക്കും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നയിക്കുന്നു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. </w:t>
      </w:r>
      <w:r w:rsid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ചിലർ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സത്യസന്ധനായി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തുടരുകയും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അല്ലാഹുവിങ്കൽ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സത്യസന്ധന</w:t>
      </w:r>
      <w:r w:rsid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െന്ന്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രേഖപ്പെടുത്തപ്പെടുന്നതുവരെ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  <w:r w:rsid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 xml:space="preserve">അയാൾ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സത്</w:t>
      </w:r>
      <w:r w:rsid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യത്തിൽ ഉറച്ചു നിൽക്കുകയും ചെയ്യും.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 </w:t>
      </w:r>
    </w:p>
    <w:p w14:paraId="7AC2AC63" w14:textId="77777777" w:rsidR="009B1D43" w:rsidRDefault="009B1D43" w:rsidP="009B1D4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مسلم</w:t>
      </w:r>
    </w:p>
    <w:p w14:paraId="195C3AF1" w14:textId="77777777" w:rsidR="00D84299" w:rsidRPr="009B1D43" w:rsidRDefault="00D84299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</w:p>
    <w:p w14:paraId="024DF577" w14:textId="77777777" w:rsidR="00D84299" w:rsidRPr="009B1D43" w:rsidRDefault="00D84299" w:rsidP="009B1D43">
      <w:pPr>
        <w:autoSpaceDE w:val="0"/>
        <w:autoSpaceDN w:val="0"/>
        <w:bidi w:val="0"/>
        <w:adjustRightInd w:val="0"/>
        <w:spacing w:line="360" w:lineRule="auto"/>
        <w:jc w:val="both"/>
        <w:rPr>
          <w:rFonts w:ascii="Manjari" w:hAnsi="Manjari" w:cs="Manjari"/>
          <w:b/>
          <w:bCs/>
          <w:sz w:val="40"/>
          <w:szCs w:val="40"/>
          <w:rtl/>
        </w:rPr>
      </w:pP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ഉദ്ധരിച്ചത്</w:t>
      </w:r>
      <w:r w:rsidRPr="009B1D43">
        <w:rPr>
          <w:rFonts w:ascii="Manjari" w:hAnsi="Manjari" w:cs="Manjari"/>
          <w:b/>
          <w:bCs/>
          <w:sz w:val="40"/>
          <w:szCs w:val="40"/>
          <w:cs/>
          <w:lang w:bidi="ml-IN"/>
        </w:rPr>
        <w:t xml:space="preserve">: </w:t>
      </w:r>
      <w:r w:rsidRPr="009B1D43">
        <w:rPr>
          <w:rFonts w:ascii="Manjari" w:hAnsi="Manjari" w:cs="Manjari" w:hint="cs"/>
          <w:b/>
          <w:bCs/>
          <w:sz w:val="40"/>
          <w:szCs w:val="40"/>
          <w:cs/>
          <w:lang w:bidi="ml-IN"/>
        </w:rPr>
        <w:t>മുസ്ലിം</w:t>
      </w:r>
    </w:p>
    <w:sectPr w:rsidR="00D84299" w:rsidRPr="009B1D43" w:rsidSect="007C575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11B40"/>
    <w:rsid w:val="003D1E22"/>
    <w:rsid w:val="004122E9"/>
    <w:rsid w:val="00484FC1"/>
    <w:rsid w:val="004C1634"/>
    <w:rsid w:val="0056480C"/>
    <w:rsid w:val="00676301"/>
    <w:rsid w:val="00763435"/>
    <w:rsid w:val="00832C97"/>
    <w:rsid w:val="00841F39"/>
    <w:rsid w:val="00970F16"/>
    <w:rsid w:val="009764A4"/>
    <w:rsid w:val="009B1D43"/>
    <w:rsid w:val="00A74728"/>
    <w:rsid w:val="00B140CB"/>
    <w:rsid w:val="00C557E2"/>
    <w:rsid w:val="00CD19FB"/>
    <w:rsid w:val="00CE06A9"/>
    <w:rsid w:val="00D84299"/>
    <w:rsid w:val="00E83FDB"/>
    <w:rsid w:val="00EB59FD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A38982"/>
  <w15:docId w15:val="{23D8D24C-6B2D-4BB9-AC76-64B7E8D2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EB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13</cp:revision>
  <dcterms:created xsi:type="dcterms:W3CDTF">2015-02-05T19:48:00Z</dcterms:created>
  <dcterms:modified xsi:type="dcterms:W3CDTF">2025-07-10T11:41:00Z</dcterms:modified>
</cp:coreProperties>
</file>