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A4104" w14:textId="77777777" w:rsidR="00BC682C" w:rsidRPr="0011699F" w:rsidRDefault="00BC682C" w:rsidP="00BC682C">
      <w:pPr>
        <w:autoSpaceDE w:val="0"/>
        <w:autoSpaceDN w:val="0"/>
        <w:bidi w:val="0"/>
        <w:adjustRightInd w:val="0"/>
        <w:jc w:val="center"/>
        <w:rPr>
          <w:rFonts w:ascii="Manjari" w:hAnsi="Manjari" w:cs="Manjari"/>
          <w:b/>
          <w:bCs/>
          <w:sz w:val="36"/>
          <w:szCs w:val="36"/>
        </w:rPr>
      </w:pPr>
      <w:r w:rsidRPr="0011699F">
        <w:rPr>
          <w:rFonts w:ascii="Manjari" w:hAnsi="Manjari" w:cs="Manjari"/>
          <w:b/>
          <w:bCs/>
          <w:sz w:val="36"/>
          <w:szCs w:val="36"/>
          <w:cs/>
          <w:lang w:bidi="ml-IN"/>
        </w:rPr>
        <w:t>– ധൂർത്ത</w:t>
      </w:r>
      <w:r>
        <w:rPr>
          <w:rFonts w:ascii="Manjari" w:hAnsi="Manjari" w:cs="Manjari" w:hint="cs"/>
          <w:b/>
          <w:bCs/>
          <w:sz w:val="36"/>
          <w:szCs w:val="36"/>
          <w:cs/>
          <w:lang w:bidi="ml-IN"/>
        </w:rPr>
        <w:t>ും അമിതവ്യയവും</w:t>
      </w:r>
    </w:p>
    <w:p w14:paraId="5B3D95B8" w14:textId="3F10DA8C" w:rsidR="0011699F" w:rsidRDefault="007B7194" w:rsidP="001239CE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سلسلة الأخلاق </w:t>
      </w:r>
      <w:r w:rsidR="0011699F">
        <w:rPr>
          <w:rFonts w:ascii="Traditional Arabic" w:hAnsi="Traditional Arabic" w:cs="Traditional Arabic"/>
          <w:sz w:val="36"/>
          <w:szCs w:val="36"/>
          <w:rtl/>
        </w:rPr>
        <w:t>–</w:t>
      </w:r>
    </w:p>
    <w:p w14:paraId="16B2373A" w14:textId="4A0BFF85" w:rsidR="0011699F" w:rsidRPr="0011699F" w:rsidRDefault="0011699F" w:rsidP="0011699F">
      <w:pPr>
        <w:autoSpaceDE w:val="0"/>
        <w:autoSpaceDN w:val="0"/>
        <w:adjustRightInd w:val="0"/>
        <w:jc w:val="center"/>
        <w:rPr>
          <w:rFonts w:ascii="Manjari" w:hAnsi="Manjari" w:cs="Manjari"/>
          <w:b/>
          <w:bCs/>
          <w:sz w:val="36"/>
          <w:szCs w:val="36"/>
          <w:cs/>
          <w:lang w:bidi="ml-IN"/>
        </w:rPr>
      </w:pPr>
      <w:r>
        <w:rPr>
          <w:rFonts w:ascii="Manjari" w:hAnsi="Manjari" w:cs="Manjari" w:hint="cs"/>
          <w:b/>
          <w:bCs/>
          <w:sz w:val="36"/>
          <w:szCs w:val="36"/>
          <w:cs/>
          <w:lang w:bidi="ml-IN"/>
        </w:rPr>
        <w:t>ചീത്ത സ്വഭാവങ്ങൾ പരമ്പര</w:t>
      </w:r>
    </w:p>
    <w:p w14:paraId="0C62FCE0" w14:textId="495667DC" w:rsidR="007B7194" w:rsidRDefault="001239CE" w:rsidP="001239CE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 w:rsidRPr="001239CE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sz w:val="36"/>
          <w:szCs w:val="36"/>
          <w:rtl/>
        </w:rPr>
        <w:t>الإسراف والتبذير</w:t>
      </w:r>
    </w:p>
    <w:p w14:paraId="5A59DE1E" w14:textId="0DEB8DD3" w:rsidR="0011699F" w:rsidRPr="0011699F" w:rsidRDefault="0011699F" w:rsidP="0011699F">
      <w:pPr>
        <w:autoSpaceDE w:val="0"/>
        <w:autoSpaceDN w:val="0"/>
        <w:bidi w:val="0"/>
        <w:adjustRightInd w:val="0"/>
        <w:jc w:val="center"/>
        <w:rPr>
          <w:rFonts w:ascii="Manjari" w:hAnsi="Manjari" w:cs="Manjari"/>
          <w:b/>
          <w:bCs/>
          <w:sz w:val="36"/>
          <w:szCs w:val="36"/>
        </w:rPr>
      </w:pPr>
      <w:r w:rsidRPr="0011699F">
        <w:rPr>
          <w:rFonts w:ascii="Manjari" w:hAnsi="Manjari" w:cs="Manjari"/>
          <w:b/>
          <w:bCs/>
          <w:sz w:val="36"/>
          <w:szCs w:val="36"/>
          <w:cs/>
          <w:lang w:bidi="ml-IN"/>
        </w:rPr>
        <w:t>– ധൂർത്ത</w:t>
      </w:r>
      <w:r>
        <w:rPr>
          <w:rFonts w:ascii="Manjari" w:hAnsi="Manjari" w:cs="Manjari" w:hint="cs"/>
          <w:b/>
          <w:bCs/>
          <w:sz w:val="36"/>
          <w:szCs w:val="36"/>
          <w:cs/>
          <w:lang w:bidi="ml-IN"/>
        </w:rPr>
        <w:t>ും അമിതവ്യയവും</w:t>
      </w:r>
    </w:p>
    <w:p w14:paraId="4C8BE694" w14:textId="20AC8A9B" w:rsidR="007B7194" w:rsidRDefault="007B7194" w:rsidP="007B7194">
      <w:pPr>
        <w:autoSpaceDE w:val="0"/>
        <w:autoSpaceDN w:val="0"/>
        <w:adjustRightInd w:val="0"/>
        <w:rPr>
          <w:rFonts w:ascii="Traditional Arabic" w:hAnsi="Traditional Arabic" w:cs="Traditional Arabic"/>
          <w:color w:val="EE0000"/>
          <w:sz w:val="36"/>
          <w:szCs w:val="36"/>
        </w:rPr>
      </w:pPr>
      <w:r w:rsidRPr="0037583F">
        <w:rPr>
          <w:rFonts w:ascii="Traditional Arabic" w:hAnsi="Traditional Arabic" w:cs="Traditional Arabic"/>
          <w:color w:val="EE0000"/>
          <w:sz w:val="36"/>
          <w:szCs w:val="36"/>
          <w:rtl/>
        </w:rPr>
        <w:t>أخلاق مذمومة نفر منها الشرع ونهى عنها</w:t>
      </w:r>
    </w:p>
    <w:p w14:paraId="49E72A36" w14:textId="0A9C1F16" w:rsidR="0011699F" w:rsidRPr="0011699F" w:rsidRDefault="0011699F" w:rsidP="0011699F">
      <w:pPr>
        <w:autoSpaceDE w:val="0"/>
        <w:autoSpaceDN w:val="0"/>
        <w:bidi w:val="0"/>
        <w:adjustRightInd w:val="0"/>
        <w:jc w:val="both"/>
        <w:rPr>
          <w:rFonts w:ascii="Manjari" w:hAnsi="Manjari" w:cs="Manjari"/>
          <w:b/>
          <w:bCs/>
          <w:sz w:val="36"/>
          <w:szCs w:val="36"/>
        </w:rPr>
      </w:pPr>
      <w:r w:rsidRPr="0011699F">
        <w:rPr>
          <w:rFonts w:ascii="Manjari" w:hAnsi="Manjari" w:cs="Manjari"/>
          <w:b/>
          <w:bCs/>
          <w:sz w:val="36"/>
          <w:szCs w:val="36"/>
          <w:cs/>
          <w:lang w:bidi="ml-IN"/>
        </w:rPr>
        <w:t>ഇസ്‌ലാമിക നിയമം അ</w:t>
      </w:r>
      <w:r>
        <w:rPr>
          <w:rFonts w:ascii="Manjari" w:hAnsi="Manjari" w:cs="Manjari" w:hint="cs"/>
          <w:b/>
          <w:bCs/>
          <w:sz w:val="36"/>
          <w:szCs w:val="36"/>
          <w:cs/>
          <w:lang w:bidi="ml-IN"/>
        </w:rPr>
        <w:t>ക്ഷേ</w:t>
      </w:r>
      <w:r w:rsidRPr="0011699F">
        <w:rPr>
          <w:rFonts w:ascii="Manjari" w:hAnsi="Manjari" w:cs="Manjari"/>
          <w:b/>
          <w:bCs/>
          <w:sz w:val="36"/>
          <w:szCs w:val="36"/>
          <w:cs/>
          <w:lang w:bidi="ml-IN"/>
        </w:rPr>
        <w:t xml:space="preserve">പിക്കുകയും നിരോധിക്കുകയും ചെയ്യുന്ന </w:t>
      </w:r>
      <w:r>
        <w:rPr>
          <w:rFonts w:ascii="Manjari" w:hAnsi="Manjari" w:cs="Manjari" w:hint="cs"/>
          <w:b/>
          <w:bCs/>
          <w:sz w:val="36"/>
          <w:szCs w:val="36"/>
          <w:cs/>
          <w:lang w:bidi="ml-IN"/>
        </w:rPr>
        <w:t>മോശമായ</w:t>
      </w:r>
      <w:r w:rsidRPr="0011699F">
        <w:rPr>
          <w:rFonts w:ascii="Manjari" w:hAnsi="Manjari" w:cs="Manjari"/>
          <w:b/>
          <w:bCs/>
          <w:sz w:val="36"/>
          <w:szCs w:val="36"/>
          <w:cs/>
          <w:lang w:bidi="ml-IN"/>
        </w:rPr>
        <w:t xml:space="preserve"> സ്വഭാവങ്ങ</w:t>
      </w:r>
      <w:r>
        <w:rPr>
          <w:rFonts w:ascii="Manjari" w:hAnsi="Manjari" w:cs="Manjari" w:hint="cs"/>
          <w:b/>
          <w:bCs/>
          <w:sz w:val="36"/>
          <w:szCs w:val="36"/>
          <w:cs/>
          <w:lang w:bidi="ml-IN"/>
        </w:rPr>
        <w:t xml:space="preserve">ളിൽ വരുന്നതാണ് </w:t>
      </w:r>
    </w:p>
    <w:p w14:paraId="2E19A75D" w14:textId="24E264CA" w:rsidR="007B7194" w:rsidRDefault="007B7194" w:rsidP="007B7194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الإسراف والتبذير</w:t>
      </w:r>
    </w:p>
    <w:p w14:paraId="1C416BBB" w14:textId="14CEB050" w:rsidR="0011699F" w:rsidRDefault="0011699F" w:rsidP="0011699F">
      <w:pPr>
        <w:autoSpaceDE w:val="0"/>
        <w:autoSpaceDN w:val="0"/>
        <w:adjustRightInd w:val="0"/>
        <w:jc w:val="right"/>
        <w:rPr>
          <w:rFonts w:ascii="Traditional Arabic" w:hAnsi="Traditional Arabic" w:cs="Traditional Arabic"/>
          <w:sz w:val="36"/>
          <w:szCs w:val="36"/>
          <w:rtl/>
        </w:rPr>
      </w:pPr>
      <w:r w:rsidRPr="0011699F">
        <w:rPr>
          <w:rFonts w:ascii="Manjari" w:hAnsi="Manjari" w:cs="Manjari"/>
          <w:b/>
          <w:bCs/>
          <w:sz w:val="36"/>
          <w:szCs w:val="36"/>
          <w:cs/>
          <w:lang w:bidi="ml-IN"/>
        </w:rPr>
        <w:t>ധൂർത്തും പാഴാക്കലും</w:t>
      </w:r>
    </w:p>
    <w:p w14:paraId="29366E55" w14:textId="584EBC8F" w:rsidR="007B7194" w:rsidRDefault="007B7194" w:rsidP="007B7194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الله تعالى</w:t>
      </w:r>
      <w:r w:rsidR="001239CE">
        <w:rPr>
          <w:rFonts w:ascii="Traditional Arabic" w:hAnsi="Traditional Arabic" w:cs="Traditional Arabic" w:hint="cs"/>
          <w:sz w:val="36"/>
          <w:szCs w:val="36"/>
          <w:rtl/>
        </w:rPr>
        <w:t xml:space="preserve"> :</w:t>
      </w:r>
    </w:p>
    <w:p w14:paraId="68E76638" w14:textId="77777777" w:rsidR="0011699F" w:rsidRPr="0011699F" w:rsidRDefault="0011699F" w:rsidP="0011699F">
      <w:pPr>
        <w:autoSpaceDE w:val="0"/>
        <w:autoSpaceDN w:val="0"/>
        <w:bidi w:val="0"/>
        <w:adjustRightInd w:val="0"/>
        <w:jc w:val="both"/>
        <w:rPr>
          <w:rFonts w:ascii="Manjari" w:hAnsi="Manjari" w:cs="Manjari"/>
          <w:b/>
          <w:bCs/>
          <w:sz w:val="36"/>
          <w:szCs w:val="36"/>
        </w:rPr>
      </w:pPr>
      <w:r w:rsidRPr="0011699F">
        <w:rPr>
          <w:rFonts w:ascii="Manjari" w:hAnsi="Manjari" w:cs="Manjari"/>
          <w:b/>
          <w:bCs/>
          <w:sz w:val="36"/>
          <w:szCs w:val="36"/>
          <w:cs/>
          <w:lang w:bidi="ml-IN"/>
        </w:rPr>
        <w:t>അല്ലാഹു തആല പറയുന്നു</w:t>
      </w:r>
      <w:r w:rsidRPr="0011699F">
        <w:rPr>
          <w:rFonts w:ascii="Manjari" w:hAnsi="Manjari" w:cs="Manjari"/>
          <w:b/>
          <w:bCs/>
          <w:sz w:val="36"/>
          <w:szCs w:val="36"/>
          <w:rtl/>
        </w:rPr>
        <w:t>:</w:t>
      </w:r>
    </w:p>
    <w:p w14:paraId="59F57FAF" w14:textId="493DABC5" w:rsidR="007B7194" w:rsidRDefault="007B7194" w:rsidP="0011699F">
      <w:pPr>
        <w:tabs>
          <w:tab w:val="left" w:pos="5445"/>
        </w:tabs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وكلوا واشربوا ولا تسرفوا إنه لا يحب المسرفين </w:t>
      </w:r>
      <w:r w:rsidR="0011699F">
        <w:rPr>
          <w:rFonts w:ascii="Traditional Arabic" w:hAnsi="Traditional Arabic" w:cs="Traditional Arabic"/>
          <w:sz w:val="36"/>
          <w:szCs w:val="36"/>
          <w:rtl/>
        </w:rPr>
        <w:tab/>
      </w:r>
      <w:r w:rsidR="0011699F">
        <w:rPr>
          <w:rFonts w:ascii="Traditional Arabic" w:hAnsi="Traditional Arabic" w:cs="Kartika" w:hint="cs"/>
          <w:sz w:val="36"/>
          <w:szCs w:val="36"/>
          <w:cs/>
          <w:lang w:bidi="ml-IN"/>
        </w:rPr>
        <w:t xml:space="preserve"> </w:t>
      </w:r>
      <w:r>
        <w:rPr>
          <w:rFonts w:ascii="Traditional Arabic" w:hAnsi="Traditional Arabic" w:cs="Traditional Arabic"/>
          <w:sz w:val="36"/>
          <w:szCs w:val="36"/>
          <w:rtl/>
        </w:rPr>
        <w:t>( الأعراف : 31 )</w:t>
      </w:r>
    </w:p>
    <w:p w14:paraId="29299393" w14:textId="77777777" w:rsidR="0011699F" w:rsidRDefault="0011699F" w:rsidP="0011699F">
      <w:pPr>
        <w:autoSpaceDE w:val="0"/>
        <w:autoSpaceDN w:val="0"/>
        <w:bidi w:val="0"/>
        <w:adjustRightInd w:val="0"/>
        <w:jc w:val="both"/>
        <w:rPr>
          <w:rFonts w:ascii="Manjari" w:hAnsi="Manjari" w:cs="Manjari"/>
          <w:b/>
          <w:bCs/>
          <w:sz w:val="36"/>
          <w:szCs w:val="36"/>
          <w:lang w:bidi="ml-IN"/>
        </w:rPr>
      </w:pPr>
      <w:r w:rsidRPr="0011699F">
        <w:rPr>
          <w:rFonts w:ascii="Manjari" w:hAnsi="Manjari" w:cs="Manjari"/>
          <w:b/>
          <w:bCs/>
          <w:sz w:val="36"/>
          <w:szCs w:val="36"/>
          <w:rtl/>
        </w:rPr>
        <w:t>"</w:t>
      </w:r>
      <w:r w:rsidRPr="0011699F">
        <w:rPr>
          <w:rFonts w:ascii="Manjari" w:hAnsi="Manjari" w:cs="Manjari"/>
          <w:b/>
          <w:bCs/>
          <w:sz w:val="36"/>
          <w:szCs w:val="36"/>
          <w:cs/>
          <w:lang w:bidi="ml-IN"/>
        </w:rPr>
        <w:t>നിങ്ങൾ ഭക്ഷിക്കു</w:t>
      </w:r>
      <w:r>
        <w:rPr>
          <w:rFonts w:ascii="Manjari" w:hAnsi="Manjari" w:cs="Manjari" w:hint="cs"/>
          <w:b/>
          <w:bCs/>
          <w:sz w:val="36"/>
          <w:szCs w:val="36"/>
          <w:cs/>
          <w:lang w:bidi="ml-IN"/>
        </w:rPr>
        <w:t>ക</w:t>
      </w:r>
      <w:r w:rsidRPr="0011699F">
        <w:rPr>
          <w:rFonts w:ascii="Manjari" w:hAnsi="Manjari" w:cs="Manjari"/>
          <w:b/>
          <w:bCs/>
          <w:sz w:val="36"/>
          <w:szCs w:val="36"/>
        </w:rPr>
        <w:t xml:space="preserve">, </w:t>
      </w:r>
      <w:r w:rsidRPr="0011699F">
        <w:rPr>
          <w:rFonts w:ascii="Manjari" w:hAnsi="Manjari" w:cs="Manjari"/>
          <w:b/>
          <w:bCs/>
          <w:sz w:val="36"/>
          <w:szCs w:val="36"/>
          <w:cs/>
          <w:lang w:bidi="ml-IN"/>
        </w:rPr>
        <w:t>പാനം ചെയ്യുക</w:t>
      </w:r>
      <w:r w:rsidRPr="0011699F">
        <w:rPr>
          <w:rFonts w:ascii="Manjari" w:hAnsi="Manjari" w:cs="Manjari"/>
          <w:b/>
          <w:bCs/>
          <w:sz w:val="36"/>
          <w:szCs w:val="36"/>
        </w:rPr>
        <w:t xml:space="preserve">, </w:t>
      </w:r>
      <w:r w:rsidRPr="0011699F">
        <w:rPr>
          <w:rFonts w:ascii="Manjari" w:hAnsi="Manjari" w:cs="Manjari"/>
          <w:b/>
          <w:bCs/>
          <w:sz w:val="36"/>
          <w:szCs w:val="36"/>
          <w:cs/>
          <w:lang w:bidi="ml-IN"/>
        </w:rPr>
        <w:t>എന്നാൽ ധൂർത്ത് ചെയ്യരുത്</w:t>
      </w:r>
      <w:r w:rsidRPr="0011699F">
        <w:rPr>
          <w:rFonts w:ascii="Manjari" w:hAnsi="Manjari" w:cs="Manjari"/>
          <w:b/>
          <w:bCs/>
          <w:sz w:val="36"/>
          <w:szCs w:val="36"/>
        </w:rPr>
        <w:t xml:space="preserve">; </w:t>
      </w:r>
      <w:r w:rsidRPr="0011699F">
        <w:rPr>
          <w:rFonts w:ascii="Manjari" w:hAnsi="Manjari" w:cs="Manjari"/>
          <w:b/>
          <w:bCs/>
          <w:sz w:val="36"/>
          <w:szCs w:val="36"/>
          <w:cs/>
          <w:lang w:bidi="ml-IN"/>
        </w:rPr>
        <w:t>തീർച്ചയായും ധൂർത്ത് ചെയ്യുന്നവരെ അവൻ ഇഷ്ടപ്പെടുന്നില്ല</w:t>
      </w:r>
      <w:r w:rsidRPr="0011699F">
        <w:rPr>
          <w:rFonts w:ascii="Manjari" w:hAnsi="Manjari" w:cs="Manjari"/>
          <w:b/>
          <w:bCs/>
          <w:sz w:val="36"/>
          <w:szCs w:val="36"/>
          <w:rtl/>
        </w:rPr>
        <w:t>."</w:t>
      </w:r>
      <w:r>
        <w:rPr>
          <w:rFonts w:ascii="Manjari" w:hAnsi="Manjari" w:cs="Manjari" w:hint="cs"/>
          <w:b/>
          <w:bCs/>
          <w:sz w:val="36"/>
          <w:szCs w:val="36"/>
          <w:cs/>
          <w:lang w:bidi="ml-IN"/>
        </w:rPr>
        <w:t xml:space="preserve"> </w:t>
      </w:r>
    </w:p>
    <w:p w14:paraId="3DD3DF41" w14:textId="7C176924" w:rsidR="0011699F" w:rsidRPr="0011699F" w:rsidRDefault="0011699F" w:rsidP="0011699F">
      <w:pPr>
        <w:autoSpaceDE w:val="0"/>
        <w:autoSpaceDN w:val="0"/>
        <w:bidi w:val="0"/>
        <w:adjustRightInd w:val="0"/>
        <w:jc w:val="both"/>
        <w:rPr>
          <w:rFonts w:ascii="Manjari" w:hAnsi="Manjari" w:cs="Manjari"/>
          <w:b/>
          <w:bCs/>
          <w:sz w:val="36"/>
          <w:szCs w:val="36"/>
          <w:lang w:bidi="ml-IN"/>
        </w:rPr>
      </w:pPr>
      <w:r>
        <w:rPr>
          <w:rFonts w:ascii="Manjari" w:hAnsi="Manjari" w:cs="Manjari" w:hint="cs"/>
          <w:b/>
          <w:bCs/>
          <w:sz w:val="36"/>
          <w:szCs w:val="36"/>
          <w:cs/>
          <w:lang w:bidi="ml-IN"/>
        </w:rPr>
        <w:t>(</w:t>
      </w:r>
      <w:r w:rsidRPr="0011699F">
        <w:rPr>
          <w:rFonts w:ascii="Manjari" w:hAnsi="Manjari" w:cs="Manjari"/>
          <w:b/>
          <w:bCs/>
          <w:sz w:val="36"/>
          <w:szCs w:val="36"/>
          <w:cs/>
          <w:lang w:bidi="ml-IN"/>
        </w:rPr>
        <w:t xml:space="preserve">അൽ-അഅ്‌റാഫ്: </w:t>
      </w:r>
      <w:r w:rsidRPr="0011699F">
        <w:rPr>
          <w:rFonts w:ascii="Manjari" w:hAnsi="Manjari" w:cs="Manjari"/>
          <w:b/>
          <w:bCs/>
          <w:sz w:val="36"/>
          <w:szCs w:val="36"/>
        </w:rPr>
        <w:t>31</w:t>
      </w:r>
      <w:r>
        <w:rPr>
          <w:rFonts w:ascii="Manjari" w:hAnsi="Manjari" w:cs="Manjari" w:hint="cs"/>
          <w:b/>
          <w:bCs/>
          <w:sz w:val="36"/>
          <w:szCs w:val="36"/>
          <w:cs/>
          <w:lang w:bidi="ml-IN"/>
        </w:rPr>
        <w:t>)</w:t>
      </w:r>
    </w:p>
    <w:p w14:paraId="3A3031B2" w14:textId="63D48FF7" w:rsidR="007B7194" w:rsidRDefault="007B7194" w:rsidP="007B7194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رسول الله صلى الله عليه وسلم</w:t>
      </w:r>
      <w:r w:rsidR="001239CE">
        <w:rPr>
          <w:rFonts w:ascii="Traditional Arabic" w:hAnsi="Traditional Arabic" w:cs="Traditional Arabic" w:hint="cs"/>
          <w:sz w:val="36"/>
          <w:szCs w:val="36"/>
          <w:rtl/>
        </w:rPr>
        <w:t xml:space="preserve"> :</w:t>
      </w:r>
    </w:p>
    <w:p w14:paraId="789A7209" w14:textId="77777777" w:rsidR="0011699F" w:rsidRPr="0011699F" w:rsidRDefault="0011699F" w:rsidP="0011699F">
      <w:pPr>
        <w:autoSpaceDE w:val="0"/>
        <w:autoSpaceDN w:val="0"/>
        <w:bidi w:val="0"/>
        <w:adjustRightInd w:val="0"/>
        <w:jc w:val="both"/>
        <w:rPr>
          <w:rFonts w:ascii="Manjari" w:hAnsi="Manjari" w:cs="Manjari"/>
          <w:b/>
          <w:bCs/>
          <w:sz w:val="36"/>
          <w:szCs w:val="36"/>
        </w:rPr>
      </w:pPr>
      <w:r w:rsidRPr="0011699F">
        <w:rPr>
          <w:rFonts w:ascii="Manjari" w:hAnsi="Manjari" w:cs="Manjari"/>
          <w:b/>
          <w:bCs/>
          <w:sz w:val="36"/>
          <w:szCs w:val="36"/>
          <w:cs/>
          <w:lang w:bidi="ml-IN"/>
        </w:rPr>
        <w:t>പ്രവാചകൻ (സ) പറഞ്ഞു</w:t>
      </w:r>
      <w:r w:rsidRPr="0011699F">
        <w:rPr>
          <w:rFonts w:ascii="Manjari" w:hAnsi="Manjari" w:cs="Manjari"/>
          <w:b/>
          <w:bCs/>
          <w:sz w:val="36"/>
          <w:szCs w:val="36"/>
          <w:rtl/>
        </w:rPr>
        <w:t>:</w:t>
      </w:r>
    </w:p>
    <w:p w14:paraId="65EF3A53" w14:textId="665F61DC" w:rsidR="007B7194" w:rsidRDefault="007B7194" w:rsidP="007B7194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كلوا واشربوا وتصدقوا والبسوا ما لم يخالطه إسراف أو مخيلة</w:t>
      </w:r>
    </w:p>
    <w:p w14:paraId="5777196D" w14:textId="1E4D87D2" w:rsidR="0011699F" w:rsidRPr="0011699F" w:rsidRDefault="0011699F" w:rsidP="0011699F">
      <w:pPr>
        <w:autoSpaceDE w:val="0"/>
        <w:autoSpaceDN w:val="0"/>
        <w:bidi w:val="0"/>
        <w:adjustRightInd w:val="0"/>
        <w:jc w:val="both"/>
        <w:rPr>
          <w:rFonts w:ascii="Manjari" w:hAnsi="Manjari" w:cs="Manjari"/>
          <w:b/>
          <w:bCs/>
          <w:sz w:val="36"/>
          <w:szCs w:val="36"/>
        </w:rPr>
      </w:pPr>
      <w:r w:rsidRPr="0011699F">
        <w:rPr>
          <w:rFonts w:ascii="Manjari" w:hAnsi="Manjari" w:cs="Manjari"/>
          <w:b/>
          <w:bCs/>
          <w:sz w:val="36"/>
          <w:szCs w:val="36"/>
          <w:rtl/>
        </w:rPr>
        <w:t>"</w:t>
      </w:r>
      <w:r w:rsidRPr="0011699F">
        <w:rPr>
          <w:rFonts w:ascii="Manjari" w:hAnsi="Manjari" w:cs="Manjari"/>
          <w:b/>
          <w:bCs/>
          <w:sz w:val="36"/>
          <w:szCs w:val="36"/>
          <w:cs/>
          <w:lang w:bidi="ml-IN"/>
        </w:rPr>
        <w:t xml:space="preserve">നിങ്ങൾ </w:t>
      </w:r>
      <w:r>
        <w:rPr>
          <w:rFonts w:ascii="Manjari" w:hAnsi="Manjari" w:cs="Manjari" w:hint="cs"/>
          <w:b/>
          <w:bCs/>
          <w:sz w:val="36"/>
          <w:szCs w:val="36"/>
          <w:cs/>
          <w:lang w:bidi="ml-IN"/>
        </w:rPr>
        <w:t xml:space="preserve">തിന്നുകയും കുടുക്കുകയും ഉടുക്കുകയും, </w:t>
      </w:r>
      <w:r w:rsidRPr="0011699F">
        <w:rPr>
          <w:rFonts w:ascii="Manjari" w:hAnsi="Manjari" w:cs="Manjari"/>
          <w:b/>
          <w:bCs/>
          <w:sz w:val="36"/>
          <w:szCs w:val="36"/>
          <w:cs/>
          <w:lang w:bidi="ml-IN"/>
        </w:rPr>
        <w:t>ദാനം</w:t>
      </w:r>
      <w:r>
        <w:rPr>
          <w:rFonts w:ascii="Manjari" w:hAnsi="Manjari" w:cs="Manjari" w:hint="cs"/>
          <w:b/>
          <w:bCs/>
          <w:sz w:val="36"/>
          <w:szCs w:val="36"/>
          <w:cs/>
          <w:lang w:bidi="ml-IN"/>
        </w:rPr>
        <w:t xml:space="preserve"> നൽകുകയും</w:t>
      </w:r>
      <w:r w:rsidRPr="0011699F">
        <w:rPr>
          <w:rFonts w:ascii="Manjari" w:hAnsi="Manjari" w:cs="Manjari"/>
          <w:b/>
          <w:bCs/>
          <w:sz w:val="36"/>
          <w:szCs w:val="36"/>
          <w:cs/>
          <w:lang w:bidi="ml-IN"/>
        </w:rPr>
        <w:t xml:space="preserve"> ചെയ്യുക</w:t>
      </w:r>
      <w:r w:rsidRPr="0011699F">
        <w:rPr>
          <w:rFonts w:ascii="Manjari" w:hAnsi="Manjari" w:cs="Manjari"/>
          <w:b/>
          <w:bCs/>
          <w:sz w:val="36"/>
          <w:szCs w:val="36"/>
        </w:rPr>
        <w:t xml:space="preserve">; </w:t>
      </w:r>
      <w:r w:rsidRPr="0011699F">
        <w:rPr>
          <w:rFonts w:ascii="Manjari" w:hAnsi="Manjari" w:cs="Manjari"/>
          <w:b/>
          <w:bCs/>
          <w:sz w:val="36"/>
          <w:szCs w:val="36"/>
          <w:cs/>
          <w:lang w:bidi="ml-IN"/>
        </w:rPr>
        <w:t>എന്നാൽ അതിൽ അമിതവ്യയ</w:t>
      </w:r>
      <w:r>
        <w:rPr>
          <w:rFonts w:ascii="Manjari" w:hAnsi="Manjari" w:cs="Manjari" w:hint="cs"/>
          <w:b/>
          <w:bCs/>
          <w:sz w:val="36"/>
          <w:szCs w:val="36"/>
          <w:cs/>
          <w:lang w:bidi="ml-IN"/>
        </w:rPr>
        <w:t>മോ</w:t>
      </w:r>
      <w:r w:rsidRPr="0011699F">
        <w:rPr>
          <w:rFonts w:ascii="Manjari" w:hAnsi="Manjari" w:cs="Manjari"/>
          <w:b/>
          <w:bCs/>
          <w:sz w:val="36"/>
          <w:szCs w:val="36"/>
          <w:cs/>
          <w:lang w:bidi="ml-IN"/>
        </w:rPr>
        <w:t xml:space="preserve"> അല്ലെങ്കിൽ പ്രകടന</w:t>
      </w:r>
      <w:r>
        <w:rPr>
          <w:rFonts w:ascii="Manjari" w:hAnsi="Manjari" w:cs="Manjari" w:hint="cs"/>
          <w:b/>
          <w:bCs/>
          <w:sz w:val="36"/>
          <w:szCs w:val="36"/>
          <w:cs/>
          <w:lang w:bidi="ml-IN"/>
        </w:rPr>
        <w:t xml:space="preserve"> പരതയോ </w:t>
      </w:r>
      <w:r w:rsidRPr="0011699F">
        <w:rPr>
          <w:rFonts w:ascii="Manjari" w:hAnsi="Manjari" w:cs="Manjari"/>
          <w:b/>
          <w:bCs/>
          <w:sz w:val="36"/>
          <w:szCs w:val="36"/>
          <w:cs/>
          <w:lang w:bidi="ml-IN"/>
        </w:rPr>
        <w:t>കാണിക്കരുത്</w:t>
      </w:r>
      <w:r w:rsidRPr="0011699F">
        <w:rPr>
          <w:rFonts w:ascii="Manjari" w:hAnsi="Manjari" w:cs="Manjari"/>
          <w:b/>
          <w:bCs/>
          <w:sz w:val="36"/>
          <w:szCs w:val="36"/>
          <w:rtl/>
        </w:rPr>
        <w:t>."</w:t>
      </w:r>
    </w:p>
    <w:p w14:paraId="743A29BB" w14:textId="77777777" w:rsidR="0011699F" w:rsidRDefault="0011699F" w:rsidP="007B7194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</w:p>
    <w:p w14:paraId="259D78FE" w14:textId="13DF53AF" w:rsidR="006958C8" w:rsidRDefault="007B7194" w:rsidP="001239CE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رواه ابن ماجة وحسنه الألباني</w:t>
      </w:r>
    </w:p>
    <w:p w14:paraId="7698374E" w14:textId="40322AA4" w:rsidR="0011699F" w:rsidRPr="0011699F" w:rsidRDefault="0011699F" w:rsidP="0011699F">
      <w:pPr>
        <w:autoSpaceDE w:val="0"/>
        <w:autoSpaceDN w:val="0"/>
        <w:bidi w:val="0"/>
        <w:adjustRightInd w:val="0"/>
        <w:jc w:val="center"/>
        <w:rPr>
          <w:rFonts w:ascii="Manjari" w:hAnsi="Manjari" w:cs="Manjari"/>
          <w:b/>
          <w:bCs/>
          <w:sz w:val="36"/>
          <w:szCs w:val="36"/>
        </w:rPr>
      </w:pPr>
      <w:r w:rsidRPr="0011699F">
        <w:rPr>
          <w:rFonts w:ascii="Manjari" w:hAnsi="Manjari" w:cs="Manjari"/>
          <w:b/>
          <w:bCs/>
          <w:sz w:val="36"/>
          <w:szCs w:val="36"/>
          <w:cs/>
          <w:lang w:bidi="ml-IN"/>
        </w:rPr>
        <w:t>ഇബ്നു മാജ</w:t>
      </w:r>
      <w:r>
        <w:rPr>
          <w:rFonts w:ascii="Manjari" w:hAnsi="Manjari" w:cs="Manjari" w:hint="cs"/>
          <w:b/>
          <w:bCs/>
          <w:sz w:val="36"/>
          <w:szCs w:val="36"/>
          <w:cs/>
          <w:lang w:bidi="ml-IN"/>
        </w:rPr>
        <w:t>,</w:t>
      </w:r>
      <w:r w:rsidRPr="0011699F">
        <w:rPr>
          <w:rFonts w:ascii="Manjari" w:hAnsi="Manjari" w:cs="Manjari"/>
          <w:b/>
          <w:bCs/>
          <w:sz w:val="36"/>
          <w:szCs w:val="36"/>
          <w:cs/>
          <w:lang w:bidi="ml-IN"/>
        </w:rPr>
        <w:t xml:space="preserve"> അൽബാനി</w:t>
      </w:r>
    </w:p>
    <w:p w14:paraId="488E9DAD" w14:textId="77777777" w:rsidR="0011699F" w:rsidRPr="0011699F" w:rsidRDefault="0011699F" w:rsidP="0011699F">
      <w:pPr>
        <w:autoSpaceDE w:val="0"/>
        <w:autoSpaceDN w:val="0"/>
        <w:bidi w:val="0"/>
        <w:adjustRightInd w:val="0"/>
        <w:jc w:val="both"/>
        <w:rPr>
          <w:rFonts w:ascii="Manjari" w:hAnsi="Manjari" w:cs="Manjari"/>
          <w:b/>
          <w:bCs/>
          <w:sz w:val="36"/>
          <w:szCs w:val="36"/>
          <w:rtl/>
        </w:rPr>
      </w:pPr>
    </w:p>
    <w:sectPr w:rsidR="0011699F" w:rsidRPr="0011699F" w:rsidSect="00CE6DD0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jari">
    <w:panose1 w:val="02000503000000000000"/>
    <w:charset w:val="00"/>
    <w:family w:val="auto"/>
    <w:pitch w:val="variable"/>
    <w:sig w:usb0="8080000F" w:usb1="00002000" w:usb2="00000000" w:usb3="00000000" w:csb0="0000000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E22"/>
    <w:rsid w:val="000138B3"/>
    <w:rsid w:val="000A4006"/>
    <w:rsid w:val="001054BC"/>
    <w:rsid w:val="0011699F"/>
    <w:rsid w:val="001239CE"/>
    <w:rsid w:val="001966CF"/>
    <w:rsid w:val="001E3356"/>
    <w:rsid w:val="0021606E"/>
    <w:rsid w:val="00217614"/>
    <w:rsid w:val="002F4B31"/>
    <w:rsid w:val="0037583F"/>
    <w:rsid w:val="003D1E22"/>
    <w:rsid w:val="004160DB"/>
    <w:rsid w:val="00470467"/>
    <w:rsid w:val="00484FC1"/>
    <w:rsid w:val="004C1634"/>
    <w:rsid w:val="00510CC0"/>
    <w:rsid w:val="0056091A"/>
    <w:rsid w:val="0056480C"/>
    <w:rsid w:val="00575E17"/>
    <w:rsid w:val="005B742A"/>
    <w:rsid w:val="005F5F58"/>
    <w:rsid w:val="00676301"/>
    <w:rsid w:val="006958C8"/>
    <w:rsid w:val="006D0E51"/>
    <w:rsid w:val="00706163"/>
    <w:rsid w:val="00723436"/>
    <w:rsid w:val="00763435"/>
    <w:rsid w:val="007B7194"/>
    <w:rsid w:val="007D2907"/>
    <w:rsid w:val="0080660C"/>
    <w:rsid w:val="00832C97"/>
    <w:rsid w:val="00841F39"/>
    <w:rsid w:val="0089723D"/>
    <w:rsid w:val="009150C0"/>
    <w:rsid w:val="00970F16"/>
    <w:rsid w:val="009724C5"/>
    <w:rsid w:val="009764A4"/>
    <w:rsid w:val="0098465E"/>
    <w:rsid w:val="009D7FD4"/>
    <w:rsid w:val="009E335B"/>
    <w:rsid w:val="00A30F25"/>
    <w:rsid w:val="00A55F70"/>
    <w:rsid w:val="00A865E4"/>
    <w:rsid w:val="00AC2C60"/>
    <w:rsid w:val="00AD7F9E"/>
    <w:rsid w:val="00AF76F0"/>
    <w:rsid w:val="00B140CB"/>
    <w:rsid w:val="00B959E2"/>
    <w:rsid w:val="00BC682C"/>
    <w:rsid w:val="00C1199A"/>
    <w:rsid w:val="00C203BA"/>
    <w:rsid w:val="00C378E3"/>
    <w:rsid w:val="00C557E2"/>
    <w:rsid w:val="00CB7472"/>
    <w:rsid w:val="00CC322F"/>
    <w:rsid w:val="00D01C0F"/>
    <w:rsid w:val="00D60D0F"/>
    <w:rsid w:val="00D71EDA"/>
    <w:rsid w:val="00DB43A5"/>
    <w:rsid w:val="00E14D4E"/>
    <w:rsid w:val="00E83FDB"/>
    <w:rsid w:val="00F63872"/>
    <w:rsid w:val="00F73B0A"/>
    <w:rsid w:val="00FA65FB"/>
    <w:rsid w:val="00FB556F"/>
    <w:rsid w:val="00FD01A6"/>
    <w:rsid w:val="00FD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3809FCC"/>
  <w15:docId w15:val="{AD033C78-878B-420C-96E5-9F7D4956D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64A4"/>
    <w:pPr>
      <w:bidi/>
    </w:pPr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AD7F9E"/>
    <w:pPr>
      <w:bidi w:val="0"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484FC1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DefaultParagraphFont"/>
    <w:rsid w:val="00AD7F9E"/>
  </w:style>
  <w:style w:type="character" w:customStyle="1" w:styleId="Heading5Char">
    <w:name w:val="Heading 5 Char"/>
    <w:basedOn w:val="DefaultParagraphFont"/>
    <w:link w:val="Heading5"/>
    <w:uiPriority w:val="9"/>
    <w:rsid w:val="00AD7F9E"/>
    <w:rPr>
      <w:b/>
      <w:bCs/>
    </w:rPr>
  </w:style>
  <w:style w:type="character" w:customStyle="1" w:styleId="edit-title">
    <w:name w:val="edit-title"/>
    <w:basedOn w:val="DefaultParagraphFont"/>
    <w:rsid w:val="00AD7F9E"/>
  </w:style>
  <w:style w:type="character" w:customStyle="1" w:styleId="search-keys">
    <w:name w:val="search-keys"/>
    <w:basedOn w:val="DefaultParagraphFont"/>
    <w:rsid w:val="00AD7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90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حكم الاحتفال بعيد الحب</vt:lpstr>
    </vt:vector>
  </TitlesOfParts>
  <Company>asrg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حكم الاحتفال بعيد الحب</dc:title>
  <dc:subject/>
  <dc:creator>mohamed.mohamed</dc:creator>
  <cp:keywords/>
  <dc:description/>
  <cp:lastModifiedBy>Mohamed Hassan</cp:lastModifiedBy>
  <cp:revision>11</cp:revision>
  <dcterms:created xsi:type="dcterms:W3CDTF">2015-02-05T20:25:00Z</dcterms:created>
  <dcterms:modified xsi:type="dcterms:W3CDTF">2026-05-07T20:30:00Z</dcterms:modified>
</cp:coreProperties>
</file>