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E3ABE" w14:textId="77777777" w:rsidR="008179B3" w:rsidRPr="008179B3" w:rsidRDefault="008179B3" w:rsidP="008179B3">
      <w:r w:rsidRPr="008179B3">
        <w:rPr>
          <w:rFonts w:hint="eastAsia"/>
          <w:rtl/>
        </w:rPr>
        <w:t>اخلاق</w:t>
      </w:r>
      <w:r w:rsidRPr="008179B3">
        <w:rPr>
          <w:rtl/>
        </w:rPr>
        <w:t>ی</w:t>
      </w:r>
      <w:r w:rsidRPr="008179B3">
        <w:rPr>
          <w:rFonts w:hint="eastAsia"/>
          <w:rtl/>
        </w:rPr>
        <w:t>ات</w:t>
      </w:r>
      <w:r w:rsidRPr="008179B3">
        <w:rPr>
          <w:rtl/>
        </w:rPr>
        <w:t xml:space="preserve"> </w:t>
      </w:r>
      <w:r w:rsidRPr="008179B3">
        <w:rPr>
          <w:rFonts w:hint="eastAsia"/>
          <w:rtl/>
        </w:rPr>
        <w:t>پر</w:t>
      </w:r>
      <w:r w:rsidRPr="008179B3">
        <w:rPr>
          <w:rtl/>
        </w:rPr>
        <w:t xml:space="preserve"> </w:t>
      </w:r>
      <w:r w:rsidRPr="008179B3">
        <w:rPr>
          <w:rFonts w:hint="eastAsia"/>
          <w:rtl/>
        </w:rPr>
        <w:t>س</w:t>
      </w:r>
      <w:r w:rsidRPr="008179B3">
        <w:rPr>
          <w:rtl/>
        </w:rPr>
        <w:t>ی</w:t>
      </w:r>
      <w:r w:rsidRPr="008179B3">
        <w:rPr>
          <w:rFonts w:hint="eastAsia"/>
          <w:rtl/>
        </w:rPr>
        <w:t>ر</w:t>
      </w:r>
      <w:r w:rsidRPr="008179B3">
        <w:rPr>
          <w:rtl/>
        </w:rPr>
        <w:t>ی</w:t>
      </w:r>
      <w:r w:rsidRPr="008179B3">
        <w:rPr>
          <w:rFonts w:hint="eastAsia"/>
          <w:rtl/>
        </w:rPr>
        <w:t>ز</w:t>
      </w:r>
      <w:r w:rsidRPr="008179B3">
        <w:rPr>
          <w:rtl/>
        </w:rPr>
        <w:t xml:space="preserve"> – </w:t>
      </w:r>
      <w:r w:rsidRPr="008179B3">
        <w:rPr>
          <w:rFonts w:hint="eastAsia"/>
          <w:rtl/>
        </w:rPr>
        <w:t>غصے</w:t>
      </w:r>
      <w:r w:rsidRPr="008179B3">
        <w:rPr>
          <w:rtl/>
        </w:rPr>
        <w:t xml:space="preserve"> </w:t>
      </w:r>
      <w:r w:rsidRPr="008179B3">
        <w:rPr>
          <w:rFonts w:hint="eastAsia"/>
          <w:rtl/>
        </w:rPr>
        <w:t>کو</w:t>
      </w:r>
      <w:r w:rsidRPr="008179B3">
        <w:rPr>
          <w:rtl/>
        </w:rPr>
        <w:t xml:space="preserve"> </w:t>
      </w:r>
      <w:r w:rsidRPr="008179B3">
        <w:rPr>
          <w:rFonts w:hint="eastAsia"/>
          <w:rtl/>
        </w:rPr>
        <w:t>دبانا</w:t>
      </w:r>
    </w:p>
    <w:p w14:paraId="4480BEFC" w14:textId="3EE14C6F" w:rsidR="00FB0B74" w:rsidRDefault="00FB0B74" w:rsidP="00FB0B74">
      <w:r>
        <w:rPr>
          <w:rFonts w:hint="cs"/>
          <w:rtl/>
        </w:rPr>
        <w:t xml:space="preserve">سلسلة الأخلاق </w:t>
      </w:r>
      <w:r>
        <w:rPr>
          <w:rtl/>
        </w:rPr>
        <w:t>–</w:t>
      </w:r>
      <w:r>
        <w:rPr>
          <w:rFonts w:hint="cs"/>
          <w:rtl/>
        </w:rPr>
        <w:t xml:space="preserve"> كظم الغيظ</w:t>
      </w:r>
    </w:p>
    <w:p w14:paraId="19C2C0A3" w14:textId="5BE862E7" w:rsidR="00FB0B74" w:rsidRDefault="00FB0B74" w:rsidP="00FB0B74">
      <w:r>
        <w:rPr>
          <w:rFonts w:hint="cs"/>
          <w:rtl/>
        </w:rPr>
        <w:t>أخلاق محمودة حث عليها الشرع وأمر بها</w:t>
      </w:r>
    </w:p>
    <w:p w14:paraId="74ABD711" w14:textId="30F779B8" w:rsidR="00200606" w:rsidRDefault="00FB0B74" w:rsidP="00200606">
      <w:r>
        <w:rPr>
          <w:rFonts w:hint="cs"/>
          <w:rtl/>
        </w:rPr>
        <w:t>كظم الغيظ</w:t>
      </w:r>
    </w:p>
    <w:p w14:paraId="70B58DF3" w14:textId="569E91EC" w:rsidR="00FB0B74" w:rsidRDefault="00FB0B74" w:rsidP="00FB0B74">
      <w:r>
        <w:rPr>
          <w:rFonts w:hint="cs"/>
          <w:rtl/>
        </w:rPr>
        <w:t>قال الله تعالى :</w:t>
      </w:r>
    </w:p>
    <w:p w14:paraId="09A4D7C4" w14:textId="7B92C7CA" w:rsidR="00FB0B74" w:rsidRDefault="00FB0B74" w:rsidP="00FB0B74">
      <w:r>
        <w:rPr>
          <w:rFonts w:hint="cs"/>
          <w:rtl/>
        </w:rPr>
        <w:t>الذين ينفقون في السراء والضراء والكاظمين الغيظ والعافين عن الناس</w:t>
      </w:r>
    </w:p>
    <w:p w14:paraId="6668A9DB" w14:textId="37CDE21A" w:rsidR="00FB0B74" w:rsidRDefault="00FB0B74" w:rsidP="00FB0B74">
      <w:r>
        <w:rPr>
          <w:rFonts w:hint="cs"/>
          <w:rtl/>
        </w:rPr>
        <w:t>( آل عمران : 134 )</w:t>
      </w:r>
    </w:p>
    <w:p w14:paraId="08970531" w14:textId="757BB453" w:rsidR="00FB0B74" w:rsidRDefault="00FB0B74" w:rsidP="00FB0B74">
      <w:r>
        <w:rPr>
          <w:rFonts w:hint="cs"/>
          <w:rtl/>
        </w:rPr>
        <w:t>قال رسول الله صلى الله عليه وسلم :</w:t>
      </w:r>
    </w:p>
    <w:p w14:paraId="65B52566" w14:textId="58349E8F" w:rsidR="00FB0B74" w:rsidRDefault="00FB0B74" w:rsidP="00FB0B74">
      <w:r>
        <w:rPr>
          <w:rFonts w:hint="cs"/>
          <w:rtl/>
        </w:rPr>
        <w:t>من كظم غيظا وهو يستطيع أن ينفذه دعاه الله يوم القيامة على رءوس الخلائق حتى يخيره في أي الحور شاء</w:t>
      </w:r>
    </w:p>
    <w:p w14:paraId="7168ADE4" w14:textId="77777777" w:rsidR="00FB0B74" w:rsidRDefault="00FB0B74">
      <w:pPr>
        <w:pBdr>
          <w:bottom w:val="single" w:sz="12" w:space="1" w:color="auto"/>
        </w:pBdr>
      </w:pPr>
      <w:r>
        <w:rPr>
          <w:rFonts w:hint="cs"/>
          <w:rtl/>
        </w:rPr>
        <w:t>رواه الترمذي وحسنه الألباني</w:t>
      </w:r>
    </w:p>
    <w:p w14:paraId="15571B79" w14:textId="1C852F75" w:rsidR="00BE3E0E" w:rsidRDefault="00AC740B">
      <w:r>
        <w:rPr>
          <w:rtl/>
        </w:rPr>
        <w:t>اخلاقی</w:t>
      </w:r>
      <w:r w:rsidR="00BE3E0E">
        <w:rPr>
          <w:rFonts w:hint="cs"/>
          <w:rtl/>
        </w:rPr>
        <w:t xml:space="preserve">ات پر سیریز </w:t>
      </w:r>
      <w:r w:rsidR="00BE3E0E">
        <w:rPr>
          <w:rtl/>
        </w:rPr>
        <w:t>–</w:t>
      </w:r>
      <w:r w:rsidR="00BE3E0E">
        <w:rPr>
          <w:rFonts w:hint="cs"/>
          <w:rtl/>
        </w:rPr>
        <w:t xml:space="preserve"> غصے کو دبانا</w:t>
      </w:r>
    </w:p>
    <w:p w14:paraId="2C99B500" w14:textId="2E9B55CE" w:rsidR="00AD0750" w:rsidRDefault="00312149">
      <w:r>
        <w:rPr>
          <w:rFonts w:hint="cs"/>
          <w:rtl/>
        </w:rPr>
        <w:t>اچھے اخلاق جن کی شریعت نے ترغیب دی ہے اور ان کا حکم دیا۔</w:t>
      </w:r>
    </w:p>
    <w:p w14:paraId="4263D868" w14:textId="77777777" w:rsidR="00BE3E0E" w:rsidRDefault="00BE3E0E">
      <w:r>
        <w:rPr>
          <w:rFonts w:hint="cs"/>
          <w:rtl/>
        </w:rPr>
        <w:t>غصے کو دبانا</w:t>
      </w:r>
    </w:p>
    <w:p w14:paraId="41356AEE" w14:textId="77777777" w:rsidR="008007A7" w:rsidRDefault="00BE3E0E">
      <w:r>
        <w:rPr>
          <w:rFonts w:hint="cs"/>
          <w:rtl/>
        </w:rPr>
        <w:t>اللہ تعالیٰ کا ارشاد ہے:</w:t>
      </w:r>
    </w:p>
    <w:p w14:paraId="0B71D2CB" w14:textId="4F37AEBD" w:rsidR="00BE3E0E" w:rsidRDefault="008007A7">
      <w:r>
        <w:rPr>
          <w:rtl/>
        </w:rPr>
        <w:t>"الذين ينفقون في السراء والضراء والكاظمين الغيظ والعافين عن الناس"</w:t>
      </w:r>
      <w:r w:rsidR="00BE3E0E">
        <w:rPr>
          <w:rFonts w:hint="cs"/>
          <w:rtl/>
        </w:rPr>
        <w:t xml:space="preserve"> ’’وہ لوگ جو خوش</w:t>
      </w:r>
      <w:r w:rsidR="00200606">
        <w:rPr>
          <w:rtl/>
        </w:rPr>
        <w:t xml:space="preserve"> </w:t>
      </w:r>
      <w:r w:rsidR="00BE3E0E">
        <w:rPr>
          <w:rFonts w:hint="cs"/>
          <w:rtl/>
        </w:rPr>
        <w:t>حالی اور تنگی میں خرچ کرتے ہیں اور جو غصے کو پی جاتے ہیں اور لوگوں سے درگزر کرتے ہیں۔‘‘ (آل عمران: 134)</w:t>
      </w:r>
    </w:p>
    <w:p w14:paraId="4B9F0015" w14:textId="77777777" w:rsidR="006A6F5B" w:rsidRDefault="00BE3E0E">
      <w:r>
        <w:rPr>
          <w:rFonts w:hint="cs"/>
          <w:rtl/>
        </w:rPr>
        <w:t xml:space="preserve">رسول اللہ صلی اللہ علیہ وسلم نے فرمایا: </w:t>
      </w:r>
    </w:p>
    <w:p w14:paraId="40782645" w14:textId="11C948D1" w:rsidR="006A6F5B" w:rsidRDefault="006A6F5B">
      <w:r>
        <w:rPr>
          <w:rtl/>
        </w:rPr>
        <w:t>"من كظم غيظا وهو يستطيع أن ينفذه دعاه الله يوم القيامة على رءوس الخلائق حتى يخيره في أي الحور شاء"</w:t>
      </w:r>
    </w:p>
    <w:p w14:paraId="34D92509" w14:textId="77777777" w:rsidR="00200606" w:rsidRDefault="00BE3E0E">
      <w:r>
        <w:rPr>
          <w:rFonts w:hint="cs"/>
          <w:rtl/>
        </w:rPr>
        <w:t>جس نے اپنے غصے کو اس وقت دبایا جب وہ اس پر عمل کرنے کی طاقت رکھتا ہو، اللہ تعالیٰ اسے قیامت کے دن تمام مخلوقات کے سامنے بلائے گا تاکہ وہ جنت کی کنیزوں میں سے جس کو چاہے چن لے۔</w:t>
      </w:r>
    </w:p>
    <w:p w14:paraId="28B07463" w14:textId="26375C35" w:rsidR="00BE3E0E" w:rsidRDefault="00BE3E0E">
      <w:r>
        <w:rPr>
          <w:rFonts w:hint="cs"/>
          <w:rtl/>
        </w:rPr>
        <w:t xml:space="preserve"> (ترمذی نے روایت کیا ہے اور البانی نے اسے صحیح کیا ہے)</w:t>
      </w:r>
    </w:p>
    <w:p w14:paraId="57E3FCFC" w14:textId="77777777" w:rsidR="00FB0B74" w:rsidRDefault="00FB0B74"/>
    <w:p w14:paraId="78580CBE" w14:textId="77777777" w:rsidR="00FB0B74" w:rsidRDefault="00FB0B74"/>
    <w:p w14:paraId="4517739D" w14:textId="77777777" w:rsidR="00FB0B74" w:rsidRDefault="00FB0B74"/>
    <w:sectPr w:rsidR="00FB0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74"/>
    <w:rsid w:val="00093FF1"/>
    <w:rsid w:val="000F75B6"/>
    <w:rsid w:val="00200606"/>
    <w:rsid w:val="002A75BF"/>
    <w:rsid w:val="00312149"/>
    <w:rsid w:val="004F3562"/>
    <w:rsid w:val="006A6F5B"/>
    <w:rsid w:val="008007A7"/>
    <w:rsid w:val="008179B3"/>
    <w:rsid w:val="00AC740B"/>
    <w:rsid w:val="00AD0750"/>
    <w:rsid w:val="00B3620E"/>
    <w:rsid w:val="00BA3785"/>
    <w:rsid w:val="00BE3E0E"/>
    <w:rsid w:val="00CC20FF"/>
    <w:rsid w:val="00FB0B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7E35C"/>
  <w15:chartTrackingRefBased/>
  <w15:docId w15:val="{28427041-F270-154D-988A-E652603E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B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B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B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B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B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B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B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B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B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B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B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B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B74"/>
    <w:rPr>
      <w:rFonts w:eastAsiaTheme="majorEastAsia" w:cstheme="majorBidi"/>
      <w:color w:val="272727" w:themeColor="text1" w:themeTint="D8"/>
    </w:rPr>
  </w:style>
  <w:style w:type="paragraph" w:styleId="Title">
    <w:name w:val="Title"/>
    <w:basedOn w:val="Normal"/>
    <w:next w:val="Normal"/>
    <w:link w:val="TitleChar"/>
    <w:uiPriority w:val="10"/>
    <w:qFormat/>
    <w:rsid w:val="00FB0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B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B74"/>
    <w:pPr>
      <w:spacing w:before="160"/>
      <w:jc w:val="center"/>
    </w:pPr>
    <w:rPr>
      <w:i/>
      <w:iCs/>
      <w:color w:val="404040" w:themeColor="text1" w:themeTint="BF"/>
    </w:rPr>
  </w:style>
  <w:style w:type="character" w:customStyle="1" w:styleId="QuoteChar">
    <w:name w:val="Quote Char"/>
    <w:basedOn w:val="DefaultParagraphFont"/>
    <w:link w:val="Quote"/>
    <w:uiPriority w:val="29"/>
    <w:rsid w:val="00FB0B74"/>
    <w:rPr>
      <w:i/>
      <w:iCs/>
      <w:color w:val="404040" w:themeColor="text1" w:themeTint="BF"/>
    </w:rPr>
  </w:style>
  <w:style w:type="paragraph" w:styleId="ListParagraph">
    <w:name w:val="List Paragraph"/>
    <w:basedOn w:val="Normal"/>
    <w:uiPriority w:val="34"/>
    <w:qFormat/>
    <w:rsid w:val="00FB0B74"/>
    <w:pPr>
      <w:ind w:left="720"/>
      <w:contextualSpacing/>
    </w:pPr>
  </w:style>
  <w:style w:type="character" w:styleId="IntenseEmphasis">
    <w:name w:val="Intense Emphasis"/>
    <w:basedOn w:val="DefaultParagraphFont"/>
    <w:uiPriority w:val="21"/>
    <w:qFormat/>
    <w:rsid w:val="00FB0B74"/>
    <w:rPr>
      <w:i/>
      <w:iCs/>
      <w:color w:val="0F4761" w:themeColor="accent1" w:themeShade="BF"/>
    </w:rPr>
  </w:style>
  <w:style w:type="paragraph" w:styleId="IntenseQuote">
    <w:name w:val="Intense Quote"/>
    <w:basedOn w:val="Normal"/>
    <w:next w:val="Normal"/>
    <w:link w:val="IntenseQuoteChar"/>
    <w:uiPriority w:val="30"/>
    <w:qFormat/>
    <w:rsid w:val="00FB0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B74"/>
    <w:rPr>
      <w:i/>
      <w:iCs/>
      <w:color w:val="0F4761" w:themeColor="accent1" w:themeShade="BF"/>
    </w:rPr>
  </w:style>
  <w:style w:type="character" w:styleId="IntenseReference">
    <w:name w:val="Intense Reference"/>
    <w:basedOn w:val="DefaultParagraphFont"/>
    <w:uiPriority w:val="32"/>
    <w:qFormat/>
    <w:rsid w:val="00FB0B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 Mohammed Mansoor</dc:creator>
  <cp:keywords/>
  <dc:description/>
  <cp:lastModifiedBy>Mohamed Hassan</cp:lastModifiedBy>
  <cp:revision>3</cp:revision>
  <dcterms:created xsi:type="dcterms:W3CDTF">2025-11-12T10:34:00Z</dcterms:created>
  <dcterms:modified xsi:type="dcterms:W3CDTF">2025-11-13T07:40:00Z</dcterms:modified>
</cp:coreProperties>
</file>