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748" w:rsidRDefault="00EC3748" w:rsidP="00EC3748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أفضل الحج العج والثج</w:t>
      </w:r>
    </w:p>
    <w:p w:rsidR="00DC6E95" w:rsidRDefault="00EC374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EC3748" w:rsidRDefault="00EC3748" w:rsidP="00EC374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أفضل الحج العج والثج</w:t>
      </w:r>
    </w:p>
    <w:p w:rsidR="00DC6E95" w:rsidRDefault="00EC374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</w:p>
    <w:p w:rsidR="00DC6E95" w:rsidRDefault="00EC374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</w:t>
      </w:r>
      <w:r>
        <w:rPr>
          <w:rFonts w:ascii="Traditional Arabic" w:hAnsi="Traditional Arabic" w:cs="Traditional Arabic" w:hint="cs"/>
          <w:sz w:val="36"/>
          <w:szCs w:val="36"/>
          <w:rtl/>
        </w:rPr>
        <w:t>ع</w:t>
      </w:r>
      <w:r>
        <w:rPr>
          <w:rFonts w:ascii="Traditional Arabic" w:hAnsi="Traditional Arabic" w:cs="Traditional Arabic"/>
          <w:sz w:val="36"/>
          <w:szCs w:val="36"/>
          <w:rtl/>
        </w:rPr>
        <w:t>ج، رفع الصوت بالتلبية والذكر</w:t>
      </w:r>
    </w:p>
    <w:p w:rsidR="00DC6E95" w:rsidRDefault="00EC374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الثج، إراقة دماء الهدايا والنسك</w:t>
      </w:r>
      <w:bookmarkEnd w:id="0"/>
    </w:p>
    <w:sectPr w:rsidR="00DC6E9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C6E95"/>
    <w:rsid w:val="00DC6E95"/>
    <w:rsid w:val="00EC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6A871"/>
  <w15:docId w15:val="{036066F9-6D3B-4289-8E36-5ED18235D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وسلم،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