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769" w:rsidRDefault="00547769" w:rsidP="00717C4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نهى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أن تنكح المرأة على عمتها</w:t>
      </w:r>
    </w:p>
    <w:p w:rsidR="00717C46" w:rsidRDefault="00547769" w:rsidP="0054776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نهى رسول الله صلى الله عليه و</w:t>
      </w:r>
      <w:r w:rsidR="00717C46">
        <w:rPr>
          <w:rFonts w:cs="Traditional Arabic" w:hint="cs"/>
          <w:sz w:val="36"/>
          <w:szCs w:val="36"/>
          <w:rtl/>
          <w:lang w:bidi="ar-QA"/>
        </w:rPr>
        <w:t>سلم أن تنكح المرأة على عمتها أو خالتها</w:t>
      </w:r>
    </w:p>
    <w:p w:rsidR="00651433" w:rsidRPr="00717C46" w:rsidRDefault="00547769" w:rsidP="0054776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RPr="00717C46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7C46"/>
    <w:rsid w:val="00395270"/>
    <w:rsid w:val="00547769"/>
    <w:rsid w:val="00651433"/>
    <w:rsid w:val="00717C46"/>
    <w:rsid w:val="00E5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442AC"/>
  <w15:docId w15:val="{4803C759-CC0A-4246-B7C9-D4CFA7FD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2017-06-05T10:47:00Z</dcterms:modified>
</cp:coreProperties>
</file>