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FD28B" w14:textId="77777777" w:rsidR="00A556AF" w:rsidRDefault="00A556AF" w:rsidP="00A55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الحياء من الإيمان</w:t>
      </w:r>
    </w:p>
    <w:p w14:paraId="03FCFC63" w14:textId="77777777" w:rsidR="00A556AF" w:rsidRDefault="00A556AF" w:rsidP="00A55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B6B05EF" w14:textId="77777777" w:rsidR="00A556AF" w:rsidRDefault="00A556AF" w:rsidP="00A55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الحياء من الإيمان ، والإيمان في الجنة ، والبذاء من الجفاء ، والجفاء في النار</w:t>
      </w:r>
    </w:p>
    <w:p w14:paraId="73CF5C7E" w14:textId="77777777" w:rsidR="00A556AF" w:rsidRDefault="00A556AF" w:rsidP="00A55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507021B2" w14:textId="43422835" w:rsidR="0004659C" w:rsidRPr="00A57756" w:rsidRDefault="00A556AF" w:rsidP="00A577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"الحياء" وهو خلق يمنع صاحبه من فعل القبيح، "من الإيمان"، أي: من علامات الإيمان وآثاره، "والإيمان في الجنة"، معناه أن الإيمان سبب موصل إلى الجنة "البذاء"، أي: الفحش في الكلام "من الجفاء"، أي: الإعراض، بخلاف البر "والجفاء في النار"، أ</w:t>
      </w:r>
      <w:r w:rsidR="00A57756">
        <w:rPr>
          <w:rFonts w:ascii="Traditional Arabic" w:hAnsi="Traditional Arabic" w:cs="Traditional Arabic"/>
          <w:sz w:val="36"/>
          <w:szCs w:val="36"/>
          <w:rtl/>
        </w:rPr>
        <w:t>ي: إن الجفاء سبب موصل إلى النار</w:t>
      </w:r>
      <w:r w:rsidR="00A57756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04659C" w:rsidRPr="00A57756" w:rsidSect="00D17F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04659C"/>
    <w:rsid w:val="00140982"/>
    <w:rsid w:val="00A556AF"/>
    <w:rsid w:val="00A57756"/>
    <w:rsid w:val="00C33ED3"/>
    <w:rsid w:val="00D47741"/>
    <w:rsid w:val="00FC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2020-01-24T14:55:00Z</dcterms:modified>
</cp:coreProperties>
</file>