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8E295" w14:textId="77777777" w:rsidR="00095159" w:rsidRDefault="00095159" w:rsidP="000951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التي بايع النبي صلى الله عليه وسلم تحتها أصحابه على الموت وعدم الفرار</w:t>
      </w:r>
    </w:p>
    <w:p w14:paraId="12A913BF" w14:textId="77777777" w:rsidR="00095159" w:rsidRDefault="00095159" w:rsidP="000951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B6740E8" w14:textId="77777777" w:rsidR="00095159" w:rsidRDefault="00095159" w:rsidP="000951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رضي الله عن المؤمنين إذ يبايعونك تحت الشجرة فعلم ما في قلوبهم فأنزل السكينة عليهم وأثابهم فتحا قريبا</w:t>
      </w:r>
    </w:p>
    <w:p w14:paraId="0A9AD7B8" w14:textId="1CE86400" w:rsidR="00BD74BD" w:rsidRPr="009D44C8" w:rsidRDefault="00095159" w:rsidP="009D44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(الفتح : 18)</w:t>
      </w:r>
      <w:bookmarkEnd w:id="0"/>
    </w:p>
    <w:sectPr w:rsidR="00BD74BD" w:rsidRPr="009D44C8" w:rsidSect="008774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159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D44C8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21B3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2019-01-04T10:41:00Z</dcterms:modified>
</cp:coreProperties>
</file>